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Estratégico de Transformación Digital 2025</w:t>
      </w:r>
    </w:p>
    <w:p>
      <w:r>
        <w:t>Este documento describe los objetivos prioritarios para la adopción de inteligencia artificial generativa en toda la infraestructura de la empresa.</w:t>
      </w:r>
    </w:p>
    <w:p>
      <w:pPr>
        <w:pStyle w:val="Heading1"/>
      </w:pPr>
      <w:r>
        <w:t>1. Objetivos del Trimestre Q1</w:t>
      </w:r>
    </w:p>
    <w:p>
      <w:pPr>
        <w:pStyle w:val="ListBullet"/>
      </w:pPr>
      <w:r>
        <w:t>Consolidación de la base de conocimiento y reducción de latencia en modelos conversacionales.</w:t>
      </w:r>
    </w:p>
    <w:p>
      <w:pPr>
        <w:pStyle w:val="ListBullet"/>
      </w:pPr>
      <w:r>
        <w:t>Implementación de un optimizador de tokens para reducir los costes de inferencia en un 50%.</w:t>
      </w:r>
    </w:p>
    <w:p>
      <w:pPr>
        <w:pStyle w:val="ListBullet"/>
      </w:pPr>
      <w:r>
        <w:t>Auditoría de cumplimiento normativo y privacidad de datos de clientes.</w:t>
      </w:r>
    </w:p>
    <w:p>
      <w:pPr>
        <w:pStyle w:val="Heading1"/>
      </w:pPr>
      <w:r>
        <w:t>2. Asignación Presupuestaria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Iniciativa</w:t>
            </w:r>
          </w:p>
        </w:tc>
        <w:tc>
          <w:tcPr>
            <w:tcW w:type="dxa" w:w="2880"/>
          </w:tcPr>
          <w:p>
            <w:r>
              <w:t>Presupuesto (€)</w:t>
            </w:r>
          </w:p>
        </w:tc>
        <w:tc>
          <w:tcPr>
            <w:tcW w:type="dxa" w:w="2880"/>
          </w:tcPr>
          <w:p>
            <w:r>
              <w:t>Impacto Estimado</w:t>
            </w:r>
          </w:p>
        </w:tc>
      </w:tr>
      <w:tr>
        <w:tc>
          <w:tcPr>
            <w:tcW w:type="dxa" w:w="2880"/>
          </w:tcPr>
          <w:p>
            <w:r>
              <w:t>Optimización de Tokens y RAG</w:t>
            </w:r>
          </w:p>
        </w:tc>
        <w:tc>
          <w:tcPr>
            <w:tcW w:type="dxa" w:w="2880"/>
          </w:tcPr>
          <w:p>
            <w:r>
              <w:t>45.000 €</w:t>
            </w:r>
          </w:p>
        </w:tc>
        <w:tc>
          <w:tcPr>
            <w:tcW w:type="dxa" w:w="2880"/>
          </w:tcPr>
          <w:p>
            <w:r>
              <w:t>Ahorro recurrente del 65% en API</w:t>
            </w:r>
          </w:p>
        </w:tc>
      </w:tr>
      <w:tr>
        <w:tc>
          <w:tcPr>
            <w:tcW w:type="dxa" w:w="2880"/>
          </w:tcPr>
          <w:p>
            <w:r>
              <w:t>Despliegue Local de LLMs (vLLM)</w:t>
            </w:r>
          </w:p>
        </w:tc>
        <w:tc>
          <w:tcPr>
            <w:tcW w:type="dxa" w:w="2880"/>
          </w:tcPr>
          <w:p>
            <w:r>
              <w:t>80.000 €</w:t>
            </w:r>
          </w:p>
        </w:tc>
        <w:tc>
          <w:tcPr>
            <w:tcW w:type="dxa" w:w="2880"/>
          </w:tcPr>
          <w:p>
            <w:r>
              <w:t>Soberanía de datos y baja latencia</w:t>
            </w:r>
          </w:p>
        </w:tc>
      </w:tr>
      <w:tr>
        <w:tc>
          <w:tcPr>
            <w:tcW w:type="dxa" w:w="2880"/>
          </w:tcPr>
          <w:p>
            <w:r>
              <w:t>Formación del Personal Técnico</w:t>
            </w:r>
          </w:p>
        </w:tc>
        <w:tc>
          <w:tcPr>
            <w:tcW w:type="dxa" w:w="2880"/>
          </w:tcPr>
          <w:p>
            <w:r>
              <w:t>25.000 €</w:t>
            </w:r>
          </w:p>
        </w:tc>
        <w:tc>
          <w:tcPr>
            <w:tcW w:type="dxa" w:w="2880"/>
          </w:tcPr>
          <w:p>
            <w:r>
              <w:t>Mejora de productividad interna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