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 w:line="276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Actividad: uso responsable de IA en investigación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sz w:val="18"/>
          <w:szCs w:val="18"/>
        </w:rPr>
        <w:t xml:space="preserve">Tipo: Muestra del formato de actividad</w:t>
      </w:r>
    </w:p>
    <w:p>
      <w:pPr>
        <w:pStyle w:val="Heading2"/>
        <w:keepNext/>
        <w:spacing w:after="140" w:before="2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Logro a evaluar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Analizar las oportunidades, los límites y las implicaciones éticas de la inteligencia artificial en la investigación científica.</w:t>
      </w:r>
    </w:p>
    <w:p>
      <w:pPr>
        <w:pStyle w:val="Heading2"/>
        <w:keepNext/>
        <w:spacing w:after="140" w:before="2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Indicación general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Elabora un análisis crítico de un caso de uso de inteligencia artificial en investigación. Explica su aporte, contrasta evidencias y plantea condiciones para un uso responsable.</w:t>
      </w:r>
    </w:p>
    <w:p>
      <w:pPr>
        <w:pStyle w:val="Heading2"/>
        <w:keepNext/>
        <w:spacing w:after="140" w:before="2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Indicaciones específicas</w:t>
      </w:r>
    </w:p>
    <w:p>
      <w:pPr>
        <w:pStyle w:val="ListParagraph"/>
        <w:numPr>
          <w:ilvl w:val="0"/>
          <w:numId w:val="1"/>
        </w:numPr>
        <w:spacing w:after="140" w:before="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Selecciona y describe un caso concreto de aplicación de IA en investigación.</w:t>
      </w:r>
    </w:p>
    <w:p>
      <w:pPr>
        <w:pStyle w:val="ListParagraph"/>
        <w:numPr>
          <w:ilvl w:val="0"/>
          <w:numId w:val="1"/>
        </w:numPr>
        <w:spacing w:after="140" w:before="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Contrasta las afirmaciones del caso con al menos dos fuentes verificables.</w:t>
      </w:r>
    </w:p>
    <w:p>
      <w:pPr>
        <w:pStyle w:val="ListParagraph"/>
        <w:numPr>
          <w:ilvl w:val="0"/>
          <w:numId w:val="1"/>
        </w:numPr>
        <w:spacing w:after="140" w:before="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Identifica beneficios, riesgos y limitaciones; justifica cada punto con evidencia.</w:t>
      </w:r>
    </w:p>
    <w:p>
      <w:pPr>
        <w:pStyle w:val="ListParagraph"/>
        <w:numPr>
          <w:ilvl w:val="0"/>
          <w:numId w:val="1"/>
        </w:numPr>
        <w:spacing w:after="140" w:before="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Explica cómo proteger la integridad académica y reconocer la contribución de la IA.</w:t>
      </w:r>
    </w:p>
    <w:p>
      <w:pPr>
        <w:pStyle w:val="ListParagraph"/>
        <w:numPr>
          <w:ilvl w:val="0"/>
          <w:numId w:val="1"/>
        </w:numPr>
        <w:spacing w:after="140" w:before="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Formula conclusiones y recomendaciones alineadas con el análisis.</w:t>
      </w:r>
    </w:p>
    <w:p>
      <w:pPr>
        <w:pStyle w:val="Heading2"/>
        <w:keepNext/>
        <w:spacing w:after="140" w:before="2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140" w:before="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Organiza el informe en introducción, análisis, conclusiones y referencias.</w:t>
      </w:r>
    </w:p>
    <w:p>
      <w:pPr>
        <w:pStyle w:val="ListParagraph"/>
        <w:numPr>
          <w:ilvl w:val="0"/>
          <w:numId w:val="1"/>
        </w:numPr>
        <w:spacing w:after="140" w:before="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Revisa los datos generados por IA y conserva las fuentes que los respaldan.</w:t>
      </w:r>
    </w:p>
    <w:p>
      <w:pPr>
        <w:pStyle w:val="ListParagraph"/>
        <w:numPr>
          <w:ilvl w:val="0"/>
          <w:numId w:val="1"/>
        </w:numPr>
        <w:spacing w:after="140" w:before="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Distribuye y documenta las contribuciones de los participantes.</w:t>
      </w:r>
    </w:p>
    <w:p>
      <w:pPr>
        <w:pStyle w:val="Heading2"/>
        <w:keepNext/>
        <w:spacing w:after="140" w:before="2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Entrega</w:t>
      </w:r>
    </w:p>
    <w:p>
      <w:pPr>
        <w:pStyle w:val="ListParagraph"/>
        <w:numPr>
          <w:ilvl w:val="0"/>
          <w:numId w:val="1"/>
        </w:numPr>
        <w:spacing w:after="140" w:before="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Producto: informe escrito con el caso, análisis y conclusiones.</w:t>
      </w:r>
    </w:p>
    <w:p>
      <w:pPr>
        <w:pStyle w:val="ListParagraph"/>
        <w:numPr>
          <w:ilvl w:val="0"/>
          <w:numId w:val="1"/>
        </w:numPr>
        <w:spacing w:after="140" w:before="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Incluye una lista de referencias y declara el uso de herramientas de IA.</w:t>
      </w:r>
    </w:p>
    <w:p>
      <w:pPr>
        <w:pStyle w:val="Heading2"/>
        <w:keepNext/>
        <w:spacing w:after="140" w:before="2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Criterios de evaluación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La rúbrica valora comprensión del caso, evidencia, análisis crítico, integridad académica, organización y colaboración.</w:t>
      </w:r>
    </w:p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Material académico</w:t>
    </w:r>
    <w:r>
      <w:rPr>
        <w:sz w:val="16"/>
        <w:szCs w:val="16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4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2026-10-07T21:05:59.044Z</dcterms:created>
  <dcterms:modified xsi:type="dcterms:W3CDTF">2026-10-07T21:05:59.045Z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