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60" w:rsidRPr="00290D60" w:rsidRDefault="00290D60" w:rsidP="00290D60">
      <w:pPr>
        <w:rPr>
          <w:b/>
          <w:sz w:val="20"/>
        </w:rPr>
      </w:pPr>
      <w:r w:rsidRPr="00290D60">
        <w:rPr>
          <w:b/>
          <w:sz w:val="20"/>
        </w:rPr>
        <w:t>“</w:t>
      </w:r>
      <w:proofErr w:type="spellStart"/>
      <w:r w:rsidRPr="00290D60">
        <w:rPr>
          <w:b/>
          <w:sz w:val="20"/>
        </w:rPr>
        <w:t>Acciones</w:t>
      </w:r>
      <w:proofErr w:type="spellEnd"/>
      <w:r w:rsidRPr="00290D60">
        <w:rPr>
          <w:b/>
          <w:sz w:val="20"/>
        </w:rPr>
        <w:t xml:space="preserve"> </w:t>
      </w:r>
      <w:proofErr w:type="gramStart"/>
      <w:r w:rsidRPr="00290D60">
        <w:rPr>
          <w:b/>
          <w:sz w:val="20"/>
        </w:rPr>
        <w:t>del</w:t>
      </w:r>
      <w:proofErr w:type="gramEnd"/>
      <w:r w:rsidRPr="00290D60">
        <w:rPr>
          <w:b/>
          <w:sz w:val="20"/>
        </w:rPr>
        <w:t xml:space="preserve"> IBEX 35”</w:t>
      </w:r>
    </w:p>
    <w:p w:rsidR="00290D60" w:rsidRDefault="00290D60" w:rsidP="00290D60">
      <w:pPr>
        <w:rPr>
          <w:b/>
          <w:sz w:val="20"/>
          <w:u w:val="single"/>
        </w:rPr>
      </w:pPr>
      <w:proofErr w:type="spellStart"/>
      <w:r w:rsidRPr="00290D60">
        <w:rPr>
          <w:b/>
          <w:sz w:val="20"/>
          <w:u w:val="single"/>
        </w:rPr>
        <w:t>Descripción</w:t>
      </w:r>
      <w:proofErr w:type="spellEnd"/>
    </w:p>
    <w:p w:rsidR="00290D60" w:rsidRPr="00ED6846" w:rsidRDefault="00290D60" w:rsidP="00290D60">
      <w:pPr>
        <w:rPr>
          <w:sz w:val="20"/>
          <w:lang w:val="es-ES"/>
        </w:rPr>
      </w:pPr>
      <w:r w:rsidRPr="00290D60">
        <w:rPr>
          <w:sz w:val="20"/>
          <w:lang w:val="es-ES"/>
        </w:rPr>
        <w:t xml:space="preserve">Este conjunto de datos contiene los datos tras el cierre del 15 enero 2024 de las acciones de las principales compañías </w:t>
      </w:r>
      <w:r w:rsidRPr="00290D60">
        <w:rPr>
          <w:sz w:val="20"/>
          <w:lang w:val="es-ES"/>
        </w:rPr>
        <w:t xml:space="preserve">que cotizan </w:t>
      </w:r>
      <w:r w:rsidRPr="00290D60">
        <w:rPr>
          <w:sz w:val="20"/>
          <w:lang w:val="es-ES"/>
        </w:rPr>
        <w:t>en la Bolsa de Madrid, España.</w:t>
      </w:r>
      <w:r>
        <w:rPr>
          <w:sz w:val="20"/>
          <w:lang w:val="es-ES"/>
        </w:rPr>
        <w:t xml:space="preserve"> </w:t>
      </w:r>
      <w:r w:rsidR="00ED6846" w:rsidRPr="00ED6846">
        <w:rPr>
          <w:sz w:val="20"/>
          <w:lang w:val="es-ES"/>
        </w:rPr>
        <w:t>Precios expresados en euros.</w:t>
      </w:r>
      <w:r w:rsidR="00ED6846" w:rsidRPr="00ED6846">
        <w:rPr>
          <w:sz w:val="20"/>
          <w:lang w:val="es-ES"/>
        </w:rPr>
        <w:t xml:space="preserve"> </w:t>
      </w:r>
      <w:r w:rsidR="00ED6846" w:rsidRPr="00ED6846">
        <w:rPr>
          <w:sz w:val="20"/>
          <w:lang w:val="es-ES"/>
        </w:rPr>
        <w:t>Efectivo expresado en miles de euros.</w:t>
      </w:r>
      <w:r w:rsidR="00FB67F2">
        <w:rPr>
          <w:sz w:val="20"/>
          <w:lang w:val="es-ES"/>
        </w:rPr>
        <w:t xml:space="preserve"> </w:t>
      </w:r>
      <w:r w:rsidR="00ED6846" w:rsidRPr="00ED6846">
        <w:rPr>
          <w:sz w:val="20"/>
          <w:lang w:val="es-ES"/>
        </w:rPr>
        <w:t xml:space="preserve">El volumen y efectivo para cada valor incluye todas las operaciones realizadas hasta el cierre de la sesión de contratación. </w:t>
      </w:r>
      <w:r w:rsidR="00FB67F2">
        <w:rPr>
          <w:sz w:val="20"/>
          <w:lang w:val="es-ES"/>
        </w:rPr>
        <w:t xml:space="preserve">Según el propietario de la web BME, se entiende que estos datos no incluyen el </w:t>
      </w:r>
      <w:r w:rsidR="00ED6846" w:rsidRPr="00ED6846">
        <w:rPr>
          <w:sz w:val="20"/>
          <w:lang w:val="es-ES"/>
        </w:rPr>
        <w:t xml:space="preserve">volumen y efectivo total </w:t>
      </w:r>
      <w:r w:rsidR="00FB67F2">
        <w:rPr>
          <w:sz w:val="20"/>
          <w:lang w:val="es-ES"/>
        </w:rPr>
        <w:t>de</w:t>
      </w:r>
      <w:r w:rsidR="00ED6846" w:rsidRPr="00ED6846">
        <w:rPr>
          <w:sz w:val="20"/>
          <w:lang w:val="es-ES"/>
        </w:rPr>
        <w:t xml:space="preserve"> las operaciones especiales realizadas después del cierre de la sesión</w:t>
      </w:r>
      <w:r w:rsidR="00FB67F2">
        <w:rPr>
          <w:sz w:val="20"/>
          <w:lang w:val="es-ES"/>
        </w:rPr>
        <w:t xml:space="preserve"> (éstos </w:t>
      </w:r>
      <w:r w:rsidR="00ED6846" w:rsidRPr="00ED6846">
        <w:rPr>
          <w:sz w:val="20"/>
          <w:lang w:val="es-ES"/>
        </w:rPr>
        <w:t>está</w:t>
      </w:r>
      <w:r w:rsidR="00FB67F2">
        <w:rPr>
          <w:sz w:val="20"/>
          <w:lang w:val="es-ES"/>
        </w:rPr>
        <w:t>n</w:t>
      </w:r>
      <w:r w:rsidR="00ED6846" w:rsidRPr="00ED6846">
        <w:rPr>
          <w:sz w:val="20"/>
          <w:lang w:val="es-ES"/>
        </w:rPr>
        <w:t xml:space="preserve"> </w:t>
      </w:r>
      <w:proofErr w:type="gramStart"/>
      <w:r w:rsidR="00ED6846" w:rsidRPr="00ED6846">
        <w:rPr>
          <w:sz w:val="20"/>
          <w:lang w:val="es-ES"/>
        </w:rPr>
        <w:t>disponible</w:t>
      </w:r>
      <w:proofErr w:type="gramEnd"/>
      <w:r w:rsidR="00ED6846" w:rsidRPr="00ED6846">
        <w:rPr>
          <w:sz w:val="20"/>
          <w:lang w:val="es-ES"/>
        </w:rPr>
        <w:t xml:space="preserve"> en la consulta histórica</w:t>
      </w:r>
      <w:r w:rsidR="00FB67F2">
        <w:rPr>
          <w:sz w:val="20"/>
          <w:lang w:val="es-ES"/>
        </w:rPr>
        <w:t>, es decir, a partir del día siguiente)</w:t>
      </w:r>
      <w:r w:rsidR="00ED6846" w:rsidRPr="00ED6846">
        <w:rPr>
          <w:sz w:val="20"/>
          <w:lang w:val="es-ES"/>
        </w:rPr>
        <w:t>.</w:t>
      </w:r>
    </w:p>
    <w:p w:rsidR="00290D60" w:rsidRPr="003E6D28" w:rsidRDefault="00290D60" w:rsidP="00290D60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 xml:space="preserve">Nombre del conjunto de </w:t>
      </w:r>
      <w:proofErr w:type="gramStart"/>
      <w:r w:rsidRPr="003E6D28">
        <w:rPr>
          <w:b/>
          <w:sz w:val="20"/>
          <w:lang w:val="es-ES"/>
        </w:rPr>
        <w:t>datos</w:t>
      </w:r>
      <w:r w:rsidRPr="003E6D28">
        <w:rPr>
          <w:sz w:val="20"/>
          <w:lang w:val="es-ES"/>
        </w:rPr>
        <w:t xml:space="preserve"> :</w:t>
      </w:r>
      <w:proofErr w:type="gramEnd"/>
      <w:r w:rsidRPr="003E6D28">
        <w:rPr>
          <w:sz w:val="20"/>
          <w:lang w:val="es-ES"/>
        </w:rPr>
        <w:t xml:space="preserve"> </w:t>
      </w:r>
      <w:r w:rsidRPr="00ED6846">
        <w:rPr>
          <w:b/>
          <w:sz w:val="20"/>
          <w:lang w:val="es-ES"/>
        </w:rPr>
        <w:t>“</w:t>
      </w:r>
      <w:r w:rsidR="00ED6846" w:rsidRPr="00ED6846">
        <w:rPr>
          <w:b/>
          <w:sz w:val="20"/>
          <w:u w:val="single"/>
          <w:lang w:val="es-ES"/>
        </w:rPr>
        <w:t>Acciones del IBEX 35</w:t>
      </w:r>
      <w:r w:rsidR="00ED6846" w:rsidRPr="00ED6846">
        <w:rPr>
          <w:b/>
          <w:sz w:val="20"/>
          <w:lang w:val="es-ES"/>
        </w:rPr>
        <w:t>”</w:t>
      </w:r>
    </w:p>
    <w:p w:rsidR="00290D60" w:rsidRPr="00731509" w:rsidRDefault="00290D60" w:rsidP="00290D60">
      <w:pPr>
        <w:rPr>
          <w:sz w:val="20"/>
          <w:lang w:val="es-ES"/>
        </w:rPr>
      </w:pPr>
      <w:proofErr w:type="gramStart"/>
      <w:r w:rsidRPr="003B1811">
        <w:rPr>
          <w:b/>
          <w:sz w:val="20"/>
          <w:lang w:val="es-ES"/>
        </w:rPr>
        <w:t>Fuente</w:t>
      </w:r>
      <w:r w:rsidRPr="00731509">
        <w:rPr>
          <w:sz w:val="20"/>
          <w:lang w:val="es-ES"/>
        </w:rPr>
        <w:t xml:space="preserve"> :</w:t>
      </w:r>
      <w:proofErr w:type="gramEnd"/>
      <w:r w:rsidRPr="00731509">
        <w:rPr>
          <w:sz w:val="20"/>
          <w:lang w:val="es-ES"/>
        </w:rPr>
        <w:t xml:space="preserve"> descarga tras el web </w:t>
      </w:r>
      <w:proofErr w:type="spellStart"/>
      <w:r w:rsidRPr="00731509">
        <w:rPr>
          <w:sz w:val="20"/>
          <w:lang w:val="es-ES"/>
        </w:rPr>
        <w:t>scraping</w:t>
      </w:r>
      <w:proofErr w:type="spellEnd"/>
      <w:r w:rsidRPr="00731509">
        <w:rPr>
          <w:sz w:val="20"/>
          <w:lang w:val="es-ES"/>
        </w:rPr>
        <w:t xml:space="preserve"> de </w:t>
      </w:r>
      <w:hyperlink r:id="rId7" w:history="1">
        <w:r w:rsidR="001237BD" w:rsidRPr="00D76556">
          <w:rPr>
            <w:rStyle w:val="Hipervnculo"/>
            <w:sz w:val="20"/>
            <w:lang w:val="es-ES"/>
          </w:rPr>
          <w:t>https://www.bolsasymercados.es/bme-exchange/es/Mercados-y-Cotizaciones/Acciones/Mercado-Continuo/Precios/ibex-35-ES0SI0000005</w:t>
        </w:r>
      </w:hyperlink>
      <w:r w:rsidR="001237BD">
        <w:rPr>
          <w:sz w:val="20"/>
          <w:lang w:val="es-ES"/>
        </w:rPr>
        <w:t xml:space="preserve"> </w:t>
      </w:r>
      <w:r w:rsidRPr="00731509">
        <w:rPr>
          <w:sz w:val="20"/>
          <w:lang w:val="es-ES"/>
        </w:rPr>
        <w:t xml:space="preserve">con </w:t>
      </w:r>
      <w:proofErr w:type="spellStart"/>
      <w:r w:rsidRPr="00731509">
        <w:rPr>
          <w:sz w:val="20"/>
          <w:lang w:val="es-ES"/>
        </w:rPr>
        <w:t>BeautifulSoup</w:t>
      </w:r>
      <w:proofErr w:type="spellEnd"/>
      <w:r w:rsidRPr="00731509">
        <w:rPr>
          <w:sz w:val="20"/>
          <w:lang w:val="es-ES"/>
        </w:rPr>
        <w:t>.</w:t>
      </w:r>
    </w:p>
    <w:p w:rsidR="00290D60" w:rsidRPr="003E6D28" w:rsidRDefault="00290D60" w:rsidP="00290D60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>Fecha de descarga y creación</w:t>
      </w:r>
      <w:r w:rsidRPr="003E6D28">
        <w:rPr>
          <w:sz w:val="20"/>
          <w:lang w:val="es-ES"/>
        </w:rPr>
        <w:t xml:space="preserve">: </w:t>
      </w:r>
      <w:r w:rsidR="00ED6846" w:rsidRPr="00ED6846">
        <w:rPr>
          <w:sz w:val="20"/>
          <w:lang w:val="es-ES"/>
        </w:rPr>
        <w:t xml:space="preserve">15 enero 2024 </w:t>
      </w:r>
      <w:r w:rsidR="00ED6846">
        <w:rPr>
          <w:sz w:val="20"/>
          <w:lang w:val="es-ES"/>
        </w:rPr>
        <w:t xml:space="preserve">a las </w:t>
      </w:r>
      <w:r w:rsidR="00ED6846" w:rsidRPr="00ED6846">
        <w:rPr>
          <w:sz w:val="20"/>
          <w:lang w:val="es-ES"/>
        </w:rPr>
        <w:t>17:37:30</w:t>
      </w:r>
    </w:p>
    <w:p w:rsidR="00290D60" w:rsidRPr="00ED6846" w:rsidRDefault="00290D60" w:rsidP="00290D60">
      <w:pPr>
        <w:rPr>
          <w:sz w:val="20"/>
          <w:lang w:val="fr-CA"/>
        </w:rPr>
      </w:pPr>
      <w:r w:rsidRPr="00ED6846">
        <w:rPr>
          <w:b/>
          <w:sz w:val="20"/>
          <w:lang w:val="fr-CA"/>
        </w:rPr>
        <w:t>Class</w:t>
      </w:r>
      <w:r w:rsidRPr="00ED6846">
        <w:rPr>
          <w:sz w:val="20"/>
          <w:lang w:val="fr-CA"/>
        </w:rPr>
        <w:t xml:space="preserve">: </w:t>
      </w:r>
      <w:r w:rsidRPr="006720F4">
        <w:rPr>
          <w:sz w:val="20"/>
          <w:lang w:val="fr-CA"/>
        </w:rPr>
        <w:t>'</w:t>
      </w:r>
      <w:proofErr w:type="spellStart"/>
      <w:r w:rsidRPr="006720F4">
        <w:rPr>
          <w:sz w:val="20"/>
          <w:lang w:val="fr-CA"/>
        </w:rPr>
        <w:t>pandas.core.frame.DataFrame</w:t>
      </w:r>
      <w:proofErr w:type="spellEnd"/>
      <w:r w:rsidRPr="006720F4">
        <w:rPr>
          <w:sz w:val="20"/>
          <w:lang w:val="fr-CA"/>
        </w:rPr>
        <w:t>'</w:t>
      </w:r>
    </w:p>
    <w:p w:rsidR="00290D60" w:rsidRPr="00CF7575" w:rsidRDefault="00290D60" w:rsidP="00290D60">
      <w:pPr>
        <w:spacing w:after="0" w:line="240" w:lineRule="auto"/>
        <w:rPr>
          <w:sz w:val="20"/>
          <w:lang w:val="fr-CA"/>
        </w:rPr>
      </w:pPr>
      <w:r w:rsidRPr="006720F4">
        <w:rPr>
          <w:b/>
          <w:sz w:val="20"/>
          <w:lang w:val="fr-CA"/>
        </w:rPr>
        <w:t>Range</w:t>
      </w:r>
      <w:r w:rsidRPr="00CF7575">
        <w:rPr>
          <w:b/>
          <w:sz w:val="20"/>
          <w:lang w:val="fr-CA"/>
        </w:rPr>
        <w:t xml:space="preserve"> </w:t>
      </w:r>
      <w:r w:rsidRPr="006720F4">
        <w:rPr>
          <w:b/>
          <w:sz w:val="20"/>
          <w:lang w:val="fr-CA"/>
        </w:rPr>
        <w:t>Index</w:t>
      </w:r>
      <w:r w:rsidRPr="006720F4">
        <w:rPr>
          <w:sz w:val="20"/>
          <w:lang w:val="fr-CA"/>
        </w:rPr>
        <w:t xml:space="preserve">: </w:t>
      </w:r>
      <w:r w:rsidR="00ED6846">
        <w:rPr>
          <w:sz w:val="20"/>
          <w:lang w:val="fr-CA"/>
        </w:rPr>
        <w:t>35</w:t>
      </w:r>
      <w:r w:rsidRPr="006720F4">
        <w:rPr>
          <w:sz w:val="20"/>
          <w:lang w:val="fr-CA"/>
        </w:rPr>
        <w:t xml:space="preserve"> </w:t>
      </w:r>
      <w:proofErr w:type="spellStart"/>
      <w:r w:rsidRPr="00CF7575">
        <w:rPr>
          <w:sz w:val="20"/>
          <w:lang w:val="fr-CA"/>
        </w:rPr>
        <w:t>entradas</w:t>
      </w:r>
      <w:proofErr w:type="spellEnd"/>
      <w:r w:rsidRPr="006720F4">
        <w:rPr>
          <w:sz w:val="20"/>
          <w:lang w:val="fr-CA"/>
        </w:rPr>
        <w:t xml:space="preserve">, </w:t>
      </w:r>
      <w:r w:rsidRPr="00CF7575">
        <w:rPr>
          <w:sz w:val="20"/>
          <w:lang w:val="fr-CA"/>
        </w:rPr>
        <w:t>de la fila 0 a</w:t>
      </w:r>
      <w:r w:rsidRPr="006720F4">
        <w:rPr>
          <w:sz w:val="20"/>
          <w:lang w:val="fr-CA"/>
        </w:rPr>
        <w:t xml:space="preserve"> </w:t>
      </w:r>
      <w:r w:rsidRPr="00CF7575">
        <w:rPr>
          <w:sz w:val="20"/>
          <w:lang w:val="fr-CA"/>
        </w:rPr>
        <w:t xml:space="preserve">la </w:t>
      </w:r>
      <w:r w:rsidR="00ED6846">
        <w:rPr>
          <w:sz w:val="20"/>
          <w:lang w:val="fr-CA"/>
        </w:rPr>
        <w:t>34</w:t>
      </w:r>
      <w:r w:rsidRPr="00CF7575">
        <w:rPr>
          <w:sz w:val="20"/>
          <w:lang w:val="fr-CA"/>
        </w:rPr>
        <w:t>.</w:t>
      </w:r>
    </w:p>
    <w:p w:rsidR="00ED6846" w:rsidRPr="00ED6846" w:rsidRDefault="00ED6846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</w:p>
    <w:p w:rsid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</w:pPr>
      <w:r w:rsidRPr="00290D60">
        <w:rPr>
          <w:rFonts w:ascii="var(--jp-code-font-family)" w:eastAsia="Times New Roman" w:hAnsi="var(--jp-code-font-family)" w:cs="Courier New"/>
          <w:b/>
          <w:sz w:val="20"/>
          <w:szCs w:val="20"/>
          <w:lang w:eastAsia="es-ES"/>
        </w:rPr>
        <w:t>Data columns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(total 9 columns):</w:t>
      </w:r>
    </w:p>
    <w:p w:rsidR="00ED6846" w:rsidRPr="00290D60" w:rsidRDefault="00ED6846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</w:pPr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#   Column             </w:t>
      </w:r>
      <w:r w:rsidR="00ED6846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Non-Null </w:t>
      </w:r>
      <w:proofErr w:type="gram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Count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>Dtype</w:t>
      </w:r>
      <w:proofErr w:type="spellEnd"/>
      <w:proofErr w:type="gram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</w:t>
      </w:r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---  ------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   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 </w:t>
      </w:r>
      <w:r w:rsidR="00ED6846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------------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       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----- </w:t>
      </w:r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0      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 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ab/>
        <w:t>35 non-</w:t>
      </w:r>
      <w:proofErr w:type="spellStart"/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1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Último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</w:t>
      </w:r>
      <w:proofErr w:type="gram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>2   % Dif.</w:t>
      </w:r>
      <w:proofErr w:type="gram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 xml:space="preserve"> </w:t>
      </w:r>
      <w:r w:rsidR="00ED6846">
        <w:rPr>
          <w:rFonts w:ascii="var(--jp-code-font-family)" w:eastAsia="Times New Roman" w:hAnsi="var(--jp-code-font-family)" w:cs="Courier New"/>
          <w:sz w:val="20"/>
          <w:szCs w:val="20"/>
          <w:lang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3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Máximo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4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Mínimo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5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Volumen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6   Efectivo (miles €)  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7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Fecha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</w:pP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8   Hora           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ab/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35 non-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null</w:t>
      </w:r>
      <w:proofErr w:type="spell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 </w:t>
      </w:r>
      <w:r w:rsidR="00ED6846" w:rsidRPr="00ED6846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 xml:space="preserve">   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fr-CA" w:eastAsia="es-ES"/>
        </w:rPr>
        <w:t>object</w:t>
      </w:r>
      <w:proofErr w:type="spellEnd"/>
    </w:p>
    <w:p w:rsidR="00290D60" w:rsidRPr="00290D60" w:rsidRDefault="00290D60" w:rsidP="0029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proofErr w:type="spellStart"/>
      <w:proofErr w:type="gram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dtypes</w:t>
      </w:r>
      <w:proofErr w:type="spellEnd"/>
      <w:proofErr w:type="gramEnd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: </w:t>
      </w:r>
      <w:proofErr w:type="spellStart"/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object</w:t>
      </w:r>
      <w:proofErr w:type="spellEnd"/>
      <w:r w:rsidR="00ED6846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 xml:space="preserve"> </w:t>
      </w:r>
      <w:r w:rsidRPr="00290D60"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  <w:t>(9)</w:t>
      </w:r>
    </w:p>
    <w:p w:rsidR="00290D60" w:rsidRDefault="00290D60" w:rsidP="00290D60">
      <w:pPr>
        <w:rPr>
          <w:lang w:val="es-ES"/>
        </w:rPr>
      </w:pPr>
    </w:p>
    <w:p w:rsidR="00ED6846" w:rsidRPr="00ED6846" w:rsidRDefault="00ED6846" w:rsidP="00ED6846">
      <w:pPr>
        <w:rPr>
          <w:b/>
          <w:sz w:val="20"/>
          <w:lang w:val="es-ES"/>
        </w:rPr>
      </w:pPr>
      <w:r w:rsidRPr="006720F4">
        <w:rPr>
          <w:b/>
          <w:sz w:val="20"/>
          <w:lang w:val="es-ES"/>
        </w:rPr>
        <w:t>Número de columnas de datos</w:t>
      </w:r>
      <w:r w:rsidRPr="00ED6846">
        <w:rPr>
          <w:sz w:val="20"/>
          <w:lang w:val="es-ES"/>
        </w:rPr>
        <w:t>: 3 columnas, con datos de tipo “objeto” y sin datos nulos</w:t>
      </w:r>
      <w:r w:rsidRPr="00ED6846">
        <w:rPr>
          <w:b/>
          <w:sz w:val="20"/>
          <w:lang w:val="es-ES"/>
        </w:rPr>
        <w:t>.</w:t>
      </w:r>
    </w:p>
    <w:p w:rsidR="00290D60" w:rsidRPr="00ED6846" w:rsidRDefault="00ED6846" w:rsidP="00820721">
      <w:pPr>
        <w:spacing w:after="0" w:line="240" w:lineRule="auto"/>
        <w:rPr>
          <w:b/>
          <w:sz w:val="20"/>
          <w:lang w:val="es-ES"/>
        </w:rPr>
      </w:pPr>
      <w:proofErr w:type="gramStart"/>
      <w:r w:rsidRPr="00ED6846">
        <w:rPr>
          <w:b/>
          <w:sz w:val="20"/>
          <w:lang w:val="es-ES"/>
        </w:rPr>
        <w:t>Descripción :</w:t>
      </w:r>
      <w:proofErr w:type="gramEnd"/>
      <w:r w:rsidRPr="00ED6846">
        <w:rPr>
          <w:b/>
          <w:sz w:val="20"/>
          <w:lang w:val="es-ES"/>
        </w:rPr>
        <w:t xml:space="preserve"> </w:t>
      </w:r>
      <w:r w:rsidR="00290D60" w:rsidRPr="00ED6846">
        <w:rPr>
          <w:b/>
          <w:sz w:val="20"/>
          <w:lang w:val="es-ES"/>
        </w:rPr>
        <w:t xml:space="preserve"> 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b/>
          <w:bCs/>
          <w:sz w:val="20"/>
          <w:lang w:val="es-ES"/>
        </w:rPr>
        <w:t>Nombre</w:t>
      </w:r>
      <w:r w:rsidRPr="00ED6846">
        <w:rPr>
          <w:sz w:val="20"/>
          <w:lang w:val="es-ES"/>
        </w:rPr>
        <w:t>: Nombre de la compañía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proofErr w:type="spellStart"/>
      <w:r w:rsidRPr="00ED6846">
        <w:rPr>
          <w:b/>
          <w:bCs/>
          <w:sz w:val="20"/>
          <w:lang w:val="es-ES"/>
        </w:rPr>
        <w:t>Ult</w:t>
      </w:r>
      <w:proofErr w:type="spellEnd"/>
      <w:r w:rsidRPr="00ED6846">
        <w:rPr>
          <w:sz w:val="20"/>
          <w:lang w:val="es-ES"/>
        </w:rPr>
        <w:t>: Precio actual de la acción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b/>
          <w:bCs/>
          <w:sz w:val="20"/>
          <w:lang w:val="es-ES"/>
        </w:rPr>
        <w:t xml:space="preserve">% </w:t>
      </w:r>
      <w:proofErr w:type="spellStart"/>
      <w:r w:rsidRPr="00ED6846">
        <w:rPr>
          <w:b/>
          <w:bCs/>
          <w:sz w:val="20"/>
          <w:lang w:val="es-ES"/>
        </w:rPr>
        <w:t>Dif</w:t>
      </w:r>
      <w:proofErr w:type="spellEnd"/>
      <w:r w:rsidRPr="00ED6846">
        <w:rPr>
          <w:sz w:val="20"/>
          <w:lang w:val="es-ES"/>
        </w:rPr>
        <w:t>: Diferencia porcentual respecto al cierre del precio anterior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b/>
          <w:bCs/>
          <w:sz w:val="20"/>
          <w:lang w:val="es-ES"/>
        </w:rPr>
        <w:t>Max</w:t>
      </w:r>
      <w:r w:rsidRPr="00ED6846">
        <w:rPr>
          <w:sz w:val="20"/>
          <w:lang w:val="es-ES"/>
        </w:rPr>
        <w:t>: máximo precio que tuvo la acción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sz w:val="20"/>
          <w:lang w:val="es-ES"/>
        </w:rPr>
        <w:t>Min: mínimo precio que tuvo la acción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b/>
          <w:bCs/>
          <w:sz w:val="20"/>
          <w:lang w:val="es-ES"/>
        </w:rPr>
        <w:t>Volumen</w:t>
      </w:r>
      <w:r w:rsidRPr="00ED6846">
        <w:rPr>
          <w:sz w:val="20"/>
          <w:lang w:val="es-ES"/>
        </w:rPr>
        <w:t>: Volumen de acciones negociadas de la empresa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b/>
          <w:bCs/>
          <w:sz w:val="20"/>
          <w:lang w:val="es-ES"/>
        </w:rPr>
        <w:t>Efectivo</w:t>
      </w:r>
      <w:r w:rsidRPr="00ED6846">
        <w:rPr>
          <w:sz w:val="20"/>
          <w:lang w:val="es-ES"/>
        </w:rPr>
        <w:t>: capital de la empresa en miles de euros</w:t>
      </w:r>
    </w:p>
    <w:p w:rsidR="00290D60" w:rsidRPr="00ED6846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b/>
          <w:bCs/>
          <w:sz w:val="20"/>
          <w:lang w:val="es-ES"/>
        </w:rPr>
        <w:t>Fecha</w:t>
      </w:r>
      <w:r w:rsidRPr="00ED6846">
        <w:rPr>
          <w:sz w:val="20"/>
          <w:lang w:val="es-ES"/>
        </w:rPr>
        <w:t>: Fecha (del dato)</w:t>
      </w:r>
    </w:p>
    <w:p w:rsidR="00290D60" w:rsidRDefault="00290D60" w:rsidP="00820721">
      <w:pPr>
        <w:spacing w:after="0" w:line="240" w:lineRule="auto"/>
        <w:ind w:left="720"/>
        <w:rPr>
          <w:sz w:val="20"/>
          <w:lang w:val="es-ES"/>
        </w:rPr>
      </w:pPr>
      <w:r w:rsidRPr="00ED6846">
        <w:rPr>
          <w:b/>
          <w:bCs/>
          <w:sz w:val="20"/>
          <w:lang w:val="es-ES"/>
        </w:rPr>
        <w:t>Hora</w:t>
      </w:r>
      <w:r w:rsidRPr="00ED6846">
        <w:rPr>
          <w:sz w:val="20"/>
          <w:lang w:val="es-ES"/>
        </w:rPr>
        <w:t>: Hora (del dato) si el mercado está abierto, si no indica “Cierre”</w:t>
      </w:r>
    </w:p>
    <w:p w:rsidR="00820721" w:rsidRPr="00ED6846" w:rsidRDefault="00820721" w:rsidP="00820721">
      <w:pPr>
        <w:spacing w:after="0" w:line="240" w:lineRule="auto"/>
        <w:ind w:left="720"/>
        <w:rPr>
          <w:sz w:val="20"/>
          <w:lang w:val="es-ES"/>
        </w:rPr>
      </w:pPr>
    </w:p>
    <w:p w:rsidR="00290D60" w:rsidRPr="00820721" w:rsidRDefault="001237BD" w:rsidP="00290D60">
      <w:pPr>
        <w:rPr>
          <w:sz w:val="18"/>
          <w:lang w:val="es-ES"/>
        </w:rPr>
      </w:pPr>
      <w:proofErr w:type="gramStart"/>
      <w:r w:rsidRPr="00820721">
        <w:rPr>
          <w:sz w:val="18"/>
          <w:lang w:val="es-ES"/>
        </w:rPr>
        <w:t>Ejemplo :</w:t>
      </w:r>
      <w:proofErr w:type="gramEnd"/>
      <w:r w:rsidRPr="00820721">
        <w:rPr>
          <w:sz w:val="18"/>
          <w:lang w:val="es-E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2"/>
        <w:gridCol w:w="1033"/>
        <w:gridCol w:w="960"/>
        <w:gridCol w:w="1033"/>
        <w:gridCol w:w="1033"/>
        <w:gridCol w:w="960"/>
        <w:gridCol w:w="1074"/>
        <w:gridCol w:w="1299"/>
        <w:gridCol w:w="960"/>
      </w:tblGrid>
      <w:tr w:rsidR="00576C37" w:rsidRPr="00820721" w:rsidTr="00820721">
        <w:tc>
          <w:tcPr>
            <w:tcW w:w="1022" w:type="dxa"/>
          </w:tcPr>
          <w:p w:rsidR="00576C37" w:rsidRPr="00820721" w:rsidRDefault="00576C37">
            <w:pPr>
              <w:rPr>
                <w:sz w:val="18"/>
                <w:lang w:val="es-ES"/>
              </w:rPr>
            </w:pPr>
            <w:bookmarkStart w:id="0" w:name="_GoBack"/>
            <w:bookmarkEnd w:id="0"/>
          </w:p>
        </w:tc>
        <w:tc>
          <w:tcPr>
            <w:tcW w:w="1033" w:type="dxa"/>
          </w:tcPr>
          <w:p w:rsidR="00576C37" w:rsidRPr="00820721" w:rsidRDefault="00735F43">
            <w:pPr>
              <w:rPr>
                <w:sz w:val="18"/>
              </w:rPr>
            </w:pPr>
            <w:proofErr w:type="spellStart"/>
            <w:r w:rsidRPr="00820721">
              <w:rPr>
                <w:sz w:val="18"/>
              </w:rPr>
              <w:t>Último</w:t>
            </w:r>
            <w:proofErr w:type="spellEnd"/>
          </w:p>
        </w:tc>
        <w:tc>
          <w:tcPr>
            <w:tcW w:w="960" w:type="dxa"/>
          </w:tcPr>
          <w:p w:rsidR="00576C37" w:rsidRPr="00820721" w:rsidRDefault="00735F43">
            <w:pPr>
              <w:rPr>
                <w:sz w:val="18"/>
              </w:rPr>
            </w:pPr>
            <w:r w:rsidRPr="00820721">
              <w:rPr>
                <w:sz w:val="18"/>
              </w:rPr>
              <w:t>% Dif.</w:t>
            </w:r>
          </w:p>
        </w:tc>
        <w:tc>
          <w:tcPr>
            <w:tcW w:w="1033" w:type="dxa"/>
          </w:tcPr>
          <w:p w:rsidR="00576C37" w:rsidRPr="00820721" w:rsidRDefault="00735F43">
            <w:pPr>
              <w:rPr>
                <w:sz w:val="18"/>
              </w:rPr>
            </w:pPr>
            <w:r w:rsidRPr="00820721">
              <w:rPr>
                <w:sz w:val="18"/>
              </w:rPr>
              <w:t>Máximo</w:t>
            </w:r>
          </w:p>
        </w:tc>
        <w:tc>
          <w:tcPr>
            <w:tcW w:w="1033" w:type="dxa"/>
          </w:tcPr>
          <w:p w:rsidR="00576C37" w:rsidRPr="00820721" w:rsidRDefault="00735F43">
            <w:pPr>
              <w:rPr>
                <w:sz w:val="18"/>
              </w:rPr>
            </w:pPr>
            <w:r w:rsidRPr="00820721">
              <w:rPr>
                <w:sz w:val="18"/>
              </w:rPr>
              <w:t>Mínimo</w:t>
            </w:r>
          </w:p>
        </w:tc>
        <w:tc>
          <w:tcPr>
            <w:tcW w:w="960" w:type="dxa"/>
          </w:tcPr>
          <w:p w:rsidR="00576C37" w:rsidRPr="00820721" w:rsidRDefault="00735F43">
            <w:pPr>
              <w:rPr>
                <w:sz w:val="18"/>
              </w:rPr>
            </w:pPr>
            <w:r w:rsidRPr="00820721">
              <w:rPr>
                <w:sz w:val="18"/>
              </w:rPr>
              <w:t>Volumen</w:t>
            </w:r>
          </w:p>
        </w:tc>
        <w:tc>
          <w:tcPr>
            <w:tcW w:w="1074" w:type="dxa"/>
          </w:tcPr>
          <w:p w:rsidR="00576C37" w:rsidRPr="00820721" w:rsidRDefault="00735F43">
            <w:pPr>
              <w:rPr>
                <w:sz w:val="18"/>
              </w:rPr>
            </w:pPr>
            <w:r w:rsidRPr="00820721">
              <w:rPr>
                <w:sz w:val="18"/>
              </w:rPr>
              <w:t>Efectivo (miles €)</w:t>
            </w:r>
          </w:p>
        </w:tc>
        <w:tc>
          <w:tcPr>
            <w:tcW w:w="1299" w:type="dxa"/>
          </w:tcPr>
          <w:p w:rsidR="00576C37" w:rsidRPr="00820721" w:rsidRDefault="00735F43">
            <w:pPr>
              <w:rPr>
                <w:sz w:val="18"/>
              </w:rPr>
            </w:pPr>
            <w:r w:rsidRPr="00820721">
              <w:rPr>
                <w:sz w:val="18"/>
              </w:rPr>
              <w:t>Fecha</w:t>
            </w:r>
          </w:p>
        </w:tc>
        <w:tc>
          <w:tcPr>
            <w:tcW w:w="960" w:type="dxa"/>
          </w:tcPr>
          <w:p w:rsidR="00576C37" w:rsidRPr="00820721" w:rsidRDefault="00735F43">
            <w:pPr>
              <w:rPr>
                <w:sz w:val="18"/>
              </w:rPr>
            </w:pPr>
            <w:r w:rsidRPr="00820721">
              <w:rPr>
                <w:sz w:val="18"/>
              </w:rPr>
              <w:t>Hora</w:t>
            </w:r>
          </w:p>
        </w:tc>
      </w:tr>
      <w:tr w:rsidR="00576C37" w:rsidRPr="00820721" w:rsidTr="00820721">
        <w:tc>
          <w:tcPr>
            <w:tcW w:w="1022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ACCIONA</w:t>
            </w:r>
          </w:p>
        </w:tc>
        <w:tc>
          <w:tcPr>
            <w:tcW w:w="1033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127,7500</w:t>
            </w:r>
          </w:p>
        </w:tc>
        <w:tc>
          <w:tcPr>
            <w:tcW w:w="960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-2,26%</w:t>
            </w:r>
          </w:p>
        </w:tc>
        <w:tc>
          <w:tcPr>
            <w:tcW w:w="1033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131,3500</w:t>
            </w:r>
          </w:p>
        </w:tc>
        <w:tc>
          <w:tcPr>
            <w:tcW w:w="1033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126,4000</w:t>
            </w:r>
          </w:p>
        </w:tc>
        <w:tc>
          <w:tcPr>
            <w:tcW w:w="960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105.112</w:t>
            </w:r>
          </w:p>
        </w:tc>
        <w:tc>
          <w:tcPr>
            <w:tcW w:w="1074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13.463,63</w:t>
            </w:r>
          </w:p>
        </w:tc>
        <w:tc>
          <w:tcPr>
            <w:tcW w:w="1299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15/01/2024</w:t>
            </w:r>
          </w:p>
        </w:tc>
        <w:tc>
          <w:tcPr>
            <w:tcW w:w="960" w:type="dxa"/>
          </w:tcPr>
          <w:p w:rsidR="00576C37" w:rsidRPr="00820721" w:rsidRDefault="00735F43">
            <w:pPr>
              <w:rPr>
                <w:sz w:val="20"/>
                <w:szCs w:val="20"/>
              </w:rPr>
            </w:pPr>
            <w:r w:rsidRPr="00820721">
              <w:rPr>
                <w:sz w:val="20"/>
                <w:szCs w:val="20"/>
              </w:rPr>
              <w:t>Cierre</w:t>
            </w:r>
          </w:p>
        </w:tc>
      </w:tr>
    </w:tbl>
    <w:p w:rsidR="00735F43" w:rsidRDefault="00735F43"/>
    <w:sectPr w:rsidR="00735F43" w:rsidSect="00D9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49B1"/>
    <w:rsid w:val="001237BD"/>
    <w:rsid w:val="0015074B"/>
    <w:rsid w:val="00290D60"/>
    <w:rsid w:val="0029639D"/>
    <w:rsid w:val="00326F90"/>
    <w:rsid w:val="00576C37"/>
    <w:rsid w:val="00735F43"/>
    <w:rsid w:val="00820721"/>
    <w:rsid w:val="00AA1D8D"/>
    <w:rsid w:val="00B47730"/>
    <w:rsid w:val="00CB0664"/>
    <w:rsid w:val="00D948FD"/>
    <w:rsid w:val="00ED6846"/>
    <w:rsid w:val="00FB67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0D6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23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0D6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23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olsasymercados.es/bme-exchange/es/Mercados-y-Cotizaciones/Acciones/Mercado-Continuo/Precios/ibex-35-ES0SI00000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0AC16F-62D5-48C8-A339-3E07A332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Buba</cp:lastModifiedBy>
  <cp:revision>5</cp:revision>
  <dcterms:created xsi:type="dcterms:W3CDTF">2013-12-23T23:15:00Z</dcterms:created>
  <dcterms:modified xsi:type="dcterms:W3CDTF">2024-01-17T13:01:00Z</dcterms:modified>
  <cp:category/>
</cp:coreProperties>
</file>