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FCE6F" w14:textId="69894442" w:rsidR="00C246EC" w:rsidRPr="00806E4D" w:rsidRDefault="00E32A6D" w:rsidP="00835AF8">
      <w:pPr>
        <w:spacing w:line="360" w:lineRule="auto"/>
        <w:rPr>
          <w:rFonts w:cs="Times New Roman"/>
          <w:color w:val="403D39"/>
          <w:szCs w:val="24"/>
          <w:shd w:val="clear" w:color="auto" w:fill="FFFFFF"/>
        </w:rPr>
      </w:pPr>
      <w:r w:rsidRPr="00E32A6D">
        <w:rPr>
          <w:rFonts w:cs="Times New Roman"/>
          <w:b/>
          <w:bCs/>
          <w:szCs w:val="24"/>
          <w:shd w:val="clear" w:color="auto" w:fill="FFFFFF"/>
        </w:rPr>
        <w:t>ORIGINAL ARTICLE</w:t>
      </w:r>
    </w:p>
    <w:p w14:paraId="72DF6A83" w14:textId="77777777" w:rsidR="00C246EC" w:rsidRPr="00B42B77" w:rsidRDefault="00C246EC" w:rsidP="00664256">
      <w:pPr>
        <w:spacing w:line="240" w:lineRule="auto"/>
        <w:ind w:firstLine="708"/>
        <w:jc w:val="center"/>
        <w:rPr>
          <w:rFonts w:cs="Times New Roman"/>
          <w:szCs w:val="24"/>
          <w:shd w:val="clear" w:color="auto" w:fill="FFFFFF"/>
        </w:rPr>
      </w:pPr>
      <w:r w:rsidRPr="00B42B77">
        <w:rPr>
          <w:rFonts w:cs="Times New Roman"/>
          <w:szCs w:val="24"/>
          <w:shd w:val="clear" w:color="auto" w:fill="FFFFFF"/>
        </w:rPr>
        <w:t>Estimando o impacto da COVID-19 na cobertura vacinal de indígenas no Brasil ​</w:t>
      </w:r>
    </w:p>
    <w:p w14:paraId="00061CE7" w14:textId="2BE6310E" w:rsidR="00C246EC" w:rsidRDefault="00C246EC" w:rsidP="00664256">
      <w:pPr>
        <w:spacing w:line="240" w:lineRule="auto"/>
        <w:ind w:firstLine="708"/>
        <w:jc w:val="center"/>
        <w:rPr>
          <w:rFonts w:cs="Times New Roman"/>
          <w:szCs w:val="24"/>
          <w:lang w:val="en-US"/>
        </w:rPr>
      </w:pPr>
      <w:r w:rsidRPr="00437C3C">
        <w:rPr>
          <w:rFonts w:cs="Times New Roman"/>
          <w:szCs w:val="24"/>
          <w:lang w:val="en-US"/>
        </w:rPr>
        <w:t>Estimating the impact of COVID-19 on vaccination coverage in indigenous in Brazil</w:t>
      </w:r>
    </w:p>
    <w:p w14:paraId="058F8065" w14:textId="77777777" w:rsidR="00C246EC" w:rsidRDefault="00C246EC" w:rsidP="00234F13">
      <w:pPr>
        <w:spacing w:line="240" w:lineRule="auto"/>
        <w:ind w:firstLine="708"/>
        <w:jc w:val="center"/>
        <w:rPr>
          <w:rFonts w:cs="Times New Roman"/>
          <w:szCs w:val="24"/>
        </w:rPr>
      </w:pPr>
      <w:r w:rsidRPr="00F122EE">
        <w:rPr>
          <w:rFonts w:cs="Times New Roman"/>
          <w:szCs w:val="24"/>
        </w:rPr>
        <w:t xml:space="preserve">Estimando </w:t>
      </w:r>
      <w:proofErr w:type="spellStart"/>
      <w:r w:rsidRPr="00F122EE">
        <w:rPr>
          <w:rFonts w:cs="Times New Roman"/>
          <w:szCs w:val="24"/>
        </w:rPr>
        <w:t>el</w:t>
      </w:r>
      <w:proofErr w:type="spellEnd"/>
      <w:r w:rsidRPr="00F122EE">
        <w:rPr>
          <w:rFonts w:cs="Times New Roman"/>
          <w:szCs w:val="24"/>
        </w:rPr>
        <w:t xml:space="preserve"> impacto de </w:t>
      </w:r>
      <w:proofErr w:type="spellStart"/>
      <w:r w:rsidRPr="00F122EE">
        <w:rPr>
          <w:rFonts w:cs="Times New Roman"/>
          <w:szCs w:val="24"/>
        </w:rPr>
        <w:t>la</w:t>
      </w:r>
      <w:proofErr w:type="spellEnd"/>
      <w:r w:rsidRPr="00F122EE">
        <w:rPr>
          <w:rFonts w:cs="Times New Roman"/>
          <w:szCs w:val="24"/>
        </w:rPr>
        <w:t xml:space="preserve"> COVID-19 </w:t>
      </w:r>
      <w:proofErr w:type="spellStart"/>
      <w:r w:rsidRPr="00F122EE">
        <w:rPr>
          <w:rFonts w:cs="Times New Roman"/>
          <w:szCs w:val="24"/>
        </w:rPr>
        <w:t>en</w:t>
      </w:r>
      <w:proofErr w:type="spellEnd"/>
      <w:r w:rsidRPr="00F122EE">
        <w:rPr>
          <w:rFonts w:cs="Times New Roman"/>
          <w:szCs w:val="24"/>
        </w:rPr>
        <w:t xml:space="preserve"> </w:t>
      </w:r>
      <w:proofErr w:type="spellStart"/>
      <w:r w:rsidRPr="00F122EE">
        <w:rPr>
          <w:rFonts w:cs="Times New Roman"/>
          <w:szCs w:val="24"/>
        </w:rPr>
        <w:t>la</w:t>
      </w:r>
      <w:proofErr w:type="spellEnd"/>
      <w:r w:rsidRPr="00F122EE">
        <w:rPr>
          <w:rFonts w:cs="Times New Roman"/>
          <w:szCs w:val="24"/>
        </w:rPr>
        <w:t xml:space="preserve"> cobertura de </w:t>
      </w:r>
      <w:proofErr w:type="spellStart"/>
      <w:r w:rsidRPr="00F122EE">
        <w:rPr>
          <w:rFonts w:cs="Times New Roman"/>
          <w:szCs w:val="24"/>
        </w:rPr>
        <w:t>vacunación</w:t>
      </w:r>
      <w:proofErr w:type="spellEnd"/>
      <w:r w:rsidRPr="00F122EE">
        <w:rPr>
          <w:rFonts w:cs="Times New Roman"/>
          <w:szCs w:val="24"/>
        </w:rPr>
        <w:t xml:space="preserve"> </w:t>
      </w:r>
      <w:proofErr w:type="spellStart"/>
      <w:r w:rsidRPr="00F122EE">
        <w:rPr>
          <w:rFonts w:cs="Times New Roman"/>
          <w:szCs w:val="24"/>
        </w:rPr>
        <w:t>en</w:t>
      </w:r>
      <w:proofErr w:type="spellEnd"/>
      <w:r w:rsidRPr="00F122EE">
        <w:rPr>
          <w:rFonts w:cs="Times New Roman"/>
          <w:szCs w:val="24"/>
        </w:rPr>
        <w:t xml:space="preserve"> indígenas de Brasil</w:t>
      </w:r>
    </w:p>
    <w:p w14:paraId="6184076A" w14:textId="77777777" w:rsidR="00C246EC" w:rsidRPr="00806E4D" w:rsidRDefault="00C246EC" w:rsidP="00234F13">
      <w:pPr>
        <w:spacing w:line="240" w:lineRule="auto"/>
        <w:jc w:val="both"/>
        <w:rPr>
          <w:rFonts w:cs="Times New Roman"/>
          <w:b/>
          <w:bCs/>
          <w:szCs w:val="24"/>
        </w:rPr>
      </w:pPr>
      <w:r w:rsidRPr="00806E4D">
        <w:rPr>
          <w:rFonts w:cs="Times New Roman"/>
          <w:b/>
          <w:bCs/>
          <w:szCs w:val="24"/>
        </w:rPr>
        <w:t>RESUMO</w:t>
      </w:r>
    </w:p>
    <w:p w14:paraId="401DFC3C" w14:textId="77777777" w:rsidR="00E32A6D" w:rsidRDefault="00C246EC" w:rsidP="00234F13">
      <w:pPr>
        <w:spacing w:line="240" w:lineRule="auto"/>
        <w:jc w:val="both"/>
        <w:rPr>
          <w:rFonts w:cs="Times New Roman"/>
          <w:szCs w:val="24"/>
        </w:rPr>
      </w:pPr>
      <w:r w:rsidRPr="000A327E">
        <w:rPr>
          <w:rFonts w:cs="Times New Roman"/>
          <w:b/>
          <w:bCs/>
          <w:szCs w:val="24"/>
        </w:rPr>
        <w:t>Justificativa e Objetivos:</w:t>
      </w:r>
      <w:r w:rsidRPr="00F1075D">
        <w:rPr>
          <w:rFonts w:cs="Times New Roman"/>
          <w:szCs w:val="24"/>
        </w:rPr>
        <w:t xml:space="preserve"> Avaliar o efeito da COVID-19 na cobertura vacinal no Brasil entre populações indígenas. </w:t>
      </w:r>
      <w:r w:rsidRPr="00F1075D">
        <w:rPr>
          <w:rFonts w:cs="Times New Roman"/>
          <w:b/>
          <w:bCs/>
          <w:szCs w:val="24"/>
        </w:rPr>
        <w:t>Métodos:</w:t>
      </w:r>
      <w:r w:rsidRPr="00F1075D">
        <w:rPr>
          <w:rFonts w:cs="Times New Roman"/>
          <w:szCs w:val="24"/>
        </w:rPr>
        <w:t xml:space="preserve"> Trata-se de um estudo ecológico utilizando dados secundários obtidos dos sistemas de informação oficiais brasileiros sobre a taxa de cobertura vacinal da Vacina Meningocócica C Conjugada, Bacillus </w:t>
      </w:r>
      <w:proofErr w:type="spellStart"/>
      <w:r w:rsidRPr="00F1075D">
        <w:rPr>
          <w:rFonts w:cs="Times New Roman"/>
          <w:szCs w:val="24"/>
        </w:rPr>
        <w:t>Calmette</w:t>
      </w:r>
      <w:proofErr w:type="spellEnd"/>
      <w:r w:rsidRPr="00F1075D">
        <w:rPr>
          <w:rFonts w:cs="Times New Roman"/>
          <w:szCs w:val="24"/>
        </w:rPr>
        <w:t>-Guérin, Febre Amarela e Vacina Pneumocócica Conjugada 10-valente nas dez localidades com maior população indígena do país</w:t>
      </w:r>
      <w:r>
        <w:rPr>
          <w:rFonts w:cs="Times New Roman"/>
          <w:szCs w:val="24"/>
        </w:rPr>
        <w:t xml:space="preserve"> entre</w:t>
      </w:r>
      <w:r w:rsidRPr="00F1075D">
        <w:rPr>
          <w:rFonts w:cs="Times New Roman"/>
          <w:szCs w:val="24"/>
        </w:rPr>
        <w:t xml:space="preserve"> 2018 a 2022. </w:t>
      </w:r>
      <w:r w:rsidRPr="00F1075D">
        <w:rPr>
          <w:rFonts w:cs="Times New Roman"/>
          <w:b/>
          <w:bCs/>
          <w:szCs w:val="24"/>
        </w:rPr>
        <w:t>Resultados:</w:t>
      </w:r>
      <w:r w:rsidRPr="00F1075D">
        <w:rPr>
          <w:rFonts w:cs="Times New Roman"/>
          <w:szCs w:val="24"/>
        </w:rPr>
        <w:t xml:space="preserve"> </w:t>
      </w:r>
      <w:r>
        <w:rPr>
          <w:rFonts w:cs="Times New Roman"/>
          <w:szCs w:val="24"/>
        </w:rPr>
        <w:t>F</w:t>
      </w:r>
      <w:r w:rsidRPr="00F1075D">
        <w:rPr>
          <w:rFonts w:cs="Times New Roman"/>
          <w:szCs w:val="24"/>
        </w:rPr>
        <w:t xml:space="preserve">oram encontradas heterogeneidades na cobertura vacinal indígena. Além disso, houve redução de aproximadamente 40%, 24%, 36% e 50% na taxa de cobertura vacinal para a Vacina Meningocócica C Conjugada, Bacillus </w:t>
      </w:r>
      <w:proofErr w:type="spellStart"/>
      <w:r w:rsidRPr="00F1075D">
        <w:rPr>
          <w:rFonts w:cs="Times New Roman"/>
          <w:szCs w:val="24"/>
        </w:rPr>
        <w:t>Calmette</w:t>
      </w:r>
      <w:proofErr w:type="spellEnd"/>
      <w:r w:rsidRPr="00F1075D">
        <w:rPr>
          <w:rFonts w:cs="Times New Roman"/>
          <w:szCs w:val="24"/>
        </w:rPr>
        <w:t xml:space="preserve">-Guérin, Febre Amarela e Vacina Pneumocócica Conjugada 10-valente, respectivamente. </w:t>
      </w:r>
      <w:r w:rsidRPr="00F1075D">
        <w:rPr>
          <w:rFonts w:cs="Times New Roman"/>
          <w:b/>
          <w:bCs/>
          <w:szCs w:val="24"/>
        </w:rPr>
        <w:t>Conclusão:</w:t>
      </w:r>
      <w:r w:rsidRPr="00F1075D">
        <w:rPr>
          <w:rFonts w:cs="Times New Roman"/>
          <w:szCs w:val="24"/>
        </w:rPr>
        <w:t xml:space="preserve"> </w:t>
      </w:r>
      <w:r>
        <w:rPr>
          <w:rFonts w:cs="Times New Roman"/>
          <w:szCs w:val="24"/>
        </w:rPr>
        <w:t>N</w:t>
      </w:r>
      <w:r w:rsidRPr="00F1075D">
        <w:rPr>
          <w:rFonts w:cs="Times New Roman"/>
          <w:szCs w:val="24"/>
        </w:rPr>
        <w:t>ossos achados reforçam a importância da adoção de campanhas de vacinação entre localidades indígenas.</w:t>
      </w:r>
    </w:p>
    <w:p w14:paraId="7B891007" w14:textId="191119F8" w:rsidR="00C246EC" w:rsidRDefault="00E32A6D" w:rsidP="00234F13">
      <w:pPr>
        <w:spacing w:line="240" w:lineRule="auto"/>
        <w:jc w:val="both"/>
        <w:rPr>
          <w:rFonts w:cs="Times New Roman"/>
          <w:szCs w:val="24"/>
        </w:rPr>
      </w:pPr>
      <w:r>
        <w:rPr>
          <w:rFonts w:cs="Times New Roman"/>
          <w:b/>
          <w:bCs/>
          <w:szCs w:val="24"/>
        </w:rPr>
        <w:t>Descritores</w:t>
      </w:r>
      <w:r w:rsidR="00C246EC" w:rsidRPr="00F86BB8">
        <w:rPr>
          <w:rFonts w:cs="Times New Roman"/>
          <w:b/>
          <w:bCs/>
          <w:szCs w:val="24"/>
        </w:rPr>
        <w:t>:</w:t>
      </w:r>
      <w:r w:rsidR="00C246EC" w:rsidRPr="00F86BB8">
        <w:rPr>
          <w:rFonts w:cs="Times New Roman"/>
          <w:szCs w:val="24"/>
        </w:rPr>
        <w:t xml:space="preserve"> Sistema de saúde indígena; desigualdades; imunização; Vigilância.</w:t>
      </w:r>
    </w:p>
    <w:p w14:paraId="5438CA3D" w14:textId="77777777" w:rsidR="00C246EC" w:rsidRPr="00806E4D" w:rsidRDefault="00C246EC" w:rsidP="00234F13">
      <w:pPr>
        <w:spacing w:line="240" w:lineRule="auto"/>
        <w:jc w:val="both"/>
        <w:rPr>
          <w:rFonts w:cs="Times New Roman"/>
          <w:szCs w:val="24"/>
          <w:lang w:val="en-US"/>
        </w:rPr>
      </w:pPr>
      <w:r w:rsidRPr="00A209E8">
        <w:rPr>
          <w:rFonts w:cs="Times New Roman"/>
          <w:b/>
          <w:bCs/>
          <w:szCs w:val="24"/>
          <w:lang w:val="en-US"/>
        </w:rPr>
        <w:t>ABSTRACT</w:t>
      </w:r>
      <w:r>
        <w:rPr>
          <w:rFonts w:cs="Times New Roman"/>
          <w:b/>
          <w:bCs/>
          <w:szCs w:val="24"/>
          <w:lang w:val="en-US"/>
        </w:rPr>
        <w:t xml:space="preserve"> </w:t>
      </w:r>
    </w:p>
    <w:p w14:paraId="27AC9C7F" w14:textId="77777777" w:rsidR="00E32A6D" w:rsidRDefault="00E32A6D" w:rsidP="00234F13">
      <w:pPr>
        <w:spacing w:line="240" w:lineRule="auto"/>
        <w:jc w:val="both"/>
        <w:rPr>
          <w:rFonts w:cs="Times New Roman"/>
          <w:szCs w:val="24"/>
          <w:lang w:val="en-US"/>
        </w:rPr>
      </w:pPr>
      <w:r w:rsidRPr="00141110">
        <w:rPr>
          <w:rFonts w:eastAsia="Times New Roman" w:cs="Times New Roman"/>
          <w:b/>
          <w:szCs w:val="24"/>
          <w:lang w:val="en-US"/>
        </w:rPr>
        <w:t xml:space="preserve">Background and </w:t>
      </w:r>
      <w:sdt>
        <w:sdtPr>
          <w:tag w:val="goog_rdk_3"/>
          <w:id w:val="-1063024792"/>
        </w:sdtPr>
        <w:sdtContent/>
      </w:sdt>
      <w:r w:rsidRPr="00141110">
        <w:rPr>
          <w:rFonts w:eastAsia="Times New Roman" w:cs="Times New Roman"/>
          <w:b/>
          <w:szCs w:val="24"/>
          <w:lang w:val="en-US"/>
        </w:rPr>
        <w:t>Objectives</w:t>
      </w:r>
      <w:r w:rsidR="00C246EC" w:rsidRPr="000A327E">
        <w:rPr>
          <w:rFonts w:cs="Times New Roman"/>
          <w:b/>
          <w:bCs/>
          <w:szCs w:val="24"/>
          <w:lang w:val="en-US"/>
        </w:rPr>
        <w:t>:</w:t>
      </w:r>
      <w:r w:rsidR="00C246EC">
        <w:rPr>
          <w:rFonts w:cs="Times New Roman"/>
          <w:szCs w:val="24"/>
          <w:lang w:val="en-US"/>
        </w:rPr>
        <w:t xml:space="preserve"> To evaluate</w:t>
      </w:r>
      <w:r w:rsidR="00C246EC" w:rsidRPr="00A209E8">
        <w:rPr>
          <w:rFonts w:cs="Times New Roman"/>
          <w:szCs w:val="24"/>
          <w:lang w:val="en-US"/>
        </w:rPr>
        <w:t xml:space="preserve"> the effect of COVID-19 on vaccination coverage in Brazil between indigenous populations. </w:t>
      </w:r>
      <w:r w:rsidR="00C246EC" w:rsidRPr="00866FDE">
        <w:rPr>
          <w:rFonts w:cs="Times New Roman"/>
          <w:b/>
          <w:bCs/>
          <w:szCs w:val="24"/>
          <w:lang w:val="en-US"/>
        </w:rPr>
        <w:t>Methods:</w:t>
      </w:r>
      <w:r w:rsidR="00C246EC">
        <w:rPr>
          <w:rFonts w:cs="Times New Roman"/>
          <w:szCs w:val="24"/>
          <w:lang w:val="en-US"/>
        </w:rPr>
        <w:t xml:space="preserve"> This was an ecological study</w:t>
      </w:r>
      <w:r w:rsidR="00C246EC" w:rsidRPr="00A209E8">
        <w:rPr>
          <w:rFonts w:cs="Times New Roman"/>
          <w:szCs w:val="24"/>
          <w:lang w:val="en-US"/>
        </w:rPr>
        <w:t xml:space="preserve"> </w:t>
      </w:r>
      <w:r w:rsidR="00C246EC">
        <w:rPr>
          <w:rFonts w:cs="Times New Roman"/>
          <w:szCs w:val="24"/>
          <w:lang w:val="en-US"/>
        </w:rPr>
        <w:t>using secondary</w:t>
      </w:r>
      <w:r w:rsidR="00C246EC" w:rsidRPr="00A209E8">
        <w:rPr>
          <w:rFonts w:cs="Times New Roman"/>
          <w:szCs w:val="24"/>
          <w:lang w:val="en-US"/>
        </w:rPr>
        <w:t xml:space="preserve"> data obtained from official Brazilian information systems on vaccine coverage rate to Meningococcal C Conjugate, Bacillus Calmette-Guérin, Yellow Fever, and 10-valent Pneumococcal Conjugate Vaccine in the ten localities with the more indigenous populations from 2018 to 202</w:t>
      </w:r>
      <w:r w:rsidR="00C246EC">
        <w:rPr>
          <w:rFonts w:cs="Times New Roman"/>
          <w:szCs w:val="24"/>
          <w:lang w:val="en-US"/>
        </w:rPr>
        <w:t>2</w:t>
      </w:r>
      <w:r w:rsidR="00C246EC" w:rsidRPr="00A209E8">
        <w:rPr>
          <w:rFonts w:cs="Times New Roman"/>
          <w:szCs w:val="24"/>
          <w:lang w:val="en-US"/>
        </w:rPr>
        <w:t xml:space="preserve">.  </w:t>
      </w:r>
      <w:r w:rsidR="00C246EC" w:rsidRPr="00866FDE">
        <w:rPr>
          <w:rFonts w:cs="Times New Roman"/>
          <w:b/>
          <w:bCs/>
          <w:szCs w:val="24"/>
          <w:lang w:val="en-US"/>
        </w:rPr>
        <w:t>Results:</w:t>
      </w:r>
      <w:r w:rsidR="00C246EC">
        <w:rPr>
          <w:rFonts w:cs="Times New Roman"/>
          <w:szCs w:val="24"/>
          <w:lang w:val="en-US"/>
        </w:rPr>
        <w:t xml:space="preserve"> There were</w:t>
      </w:r>
      <w:r w:rsidR="00C246EC" w:rsidRPr="00A209E8">
        <w:rPr>
          <w:rFonts w:cs="Times New Roman"/>
          <w:szCs w:val="24"/>
          <w:lang w:val="en-US"/>
        </w:rPr>
        <w:t xml:space="preserve"> found heterogeneities in indigenous vaccination coverage. Furthermore, there was a reduction in approximately 40%, 24%, 36%, and 50% in the coverage vaccine rate for the Meningococcal C Conjugate, Bacillus Calmette-Guérin, Yellow Fever, and 10-valent Pneumococcal Conjugate Vaccine, respectively. </w:t>
      </w:r>
      <w:r w:rsidR="00C246EC" w:rsidRPr="00866FDE">
        <w:rPr>
          <w:rFonts w:cs="Times New Roman"/>
          <w:b/>
          <w:bCs/>
          <w:szCs w:val="24"/>
          <w:lang w:val="en-US"/>
        </w:rPr>
        <w:t>Conclusion:</w:t>
      </w:r>
      <w:r w:rsidR="00C246EC">
        <w:rPr>
          <w:rFonts w:cs="Times New Roman"/>
          <w:szCs w:val="24"/>
          <w:lang w:val="en-US"/>
        </w:rPr>
        <w:t xml:space="preserve"> O</w:t>
      </w:r>
      <w:r w:rsidR="00C246EC" w:rsidRPr="00A209E8">
        <w:rPr>
          <w:rFonts w:cs="Times New Roman"/>
          <w:szCs w:val="24"/>
          <w:lang w:val="en-US"/>
        </w:rPr>
        <w:t xml:space="preserve">ur findings reinforce the </w:t>
      </w:r>
      <w:r w:rsidR="00C246EC" w:rsidRPr="00F1075D">
        <w:rPr>
          <w:rFonts w:cs="Times New Roman"/>
          <w:szCs w:val="24"/>
          <w:lang w:val="en-US"/>
        </w:rPr>
        <w:t>importance of adopting vaccination</w:t>
      </w:r>
      <w:r w:rsidR="00C246EC">
        <w:rPr>
          <w:rFonts w:cs="Times New Roman"/>
          <w:szCs w:val="24"/>
          <w:lang w:val="en-US"/>
        </w:rPr>
        <w:t xml:space="preserve"> </w:t>
      </w:r>
      <w:r w:rsidR="00C246EC" w:rsidRPr="00A209E8">
        <w:rPr>
          <w:rFonts w:cs="Times New Roman"/>
          <w:szCs w:val="24"/>
          <w:lang w:val="en-US"/>
        </w:rPr>
        <w:t>campaigns among indigenous localities.</w:t>
      </w:r>
      <w:r>
        <w:rPr>
          <w:rFonts w:cs="Times New Roman"/>
          <w:szCs w:val="24"/>
          <w:lang w:val="en-US"/>
        </w:rPr>
        <w:t xml:space="preserve"> </w:t>
      </w:r>
    </w:p>
    <w:p w14:paraId="2937CAA4" w14:textId="4CCCFFAB" w:rsidR="00C246EC" w:rsidRPr="00A209E8" w:rsidRDefault="00E32A6D" w:rsidP="00234F13">
      <w:pPr>
        <w:spacing w:line="240" w:lineRule="auto"/>
        <w:jc w:val="both"/>
        <w:rPr>
          <w:rFonts w:cs="Times New Roman"/>
          <w:szCs w:val="24"/>
          <w:lang w:val="en-US"/>
        </w:rPr>
      </w:pPr>
      <w:r w:rsidRPr="00A209E8">
        <w:rPr>
          <w:rFonts w:cs="Times New Roman"/>
          <w:b/>
          <w:bCs/>
          <w:szCs w:val="24"/>
          <w:lang w:val="en-US"/>
        </w:rPr>
        <w:t>Keywords:</w:t>
      </w:r>
      <w:r w:rsidR="00C246EC" w:rsidRPr="00A209E8">
        <w:rPr>
          <w:rFonts w:cs="Times New Roman"/>
          <w:b/>
          <w:bCs/>
          <w:szCs w:val="24"/>
          <w:lang w:val="en-US"/>
        </w:rPr>
        <w:t xml:space="preserve"> </w:t>
      </w:r>
      <w:r w:rsidR="00C246EC" w:rsidRPr="00A209E8">
        <w:rPr>
          <w:rFonts w:cs="Times New Roman"/>
          <w:szCs w:val="24"/>
          <w:lang w:val="en-US"/>
        </w:rPr>
        <w:t>Indigenous health system; inequalities; immunization</w:t>
      </w:r>
      <w:r w:rsidR="00C246EC">
        <w:rPr>
          <w:rFonts w:cs="Times New Roman"/>
          <w:szCs w:val="24"/>
          <w:lang w:val="en-US"/>
        </w:rPr>
        <w:t xml:space="preserve">; </w:t>
      </w:r>
      <w:r w:rsidR="00C246EC" w:rsidRPr="00F86BB8">
        <w:rPr>
          <w:rFonts w:cs="Times New Roman"/>
          <w:szCs w:val="24"/>
          <w:lang w:val="en-US"/>
        </w:rPr>
        <w:t>Surveillance</w:t>
      </w:r>
      <w:r w:rsidR="00C246EC">
        <w:rPr>
          <w:rFonts w:cs="Times New Roman"/>
          <w:szCs w:val="24"/>
          <w:lang w:val="en-US"/>
        </w:rPr>
        <w:t>.</w:t>
      </w:r>
      <w:r w:rsidR="00664256">
        <w:rPr>
          <w:rFonts w:cs="Times New Roman"/>
          <w:szCs w:val="24"/>
          <w:lang w:val="en-US"/>
        </w:rPr>
        <w:t xml:space="preserve"> </w:t>
      </w:r>
    </w:p>
    <w:p w14:paraId="5C65B245" w14:textId="77777777" w:rsidR="00C246EC" w:rsidRPr="00806E4D" w:rsidRDefault="00C246EC" w:rsidP="00234F13">
      <w:pPr>
        <w:spacing w:line="240" w:lineRule="auto"/>
        <w:jc w:val="both"/>
        <w:rPr>
          <w:rFonts w:cs="Times New Roman"/>
          <w:b/>
          <w:bCs/>
          <w:szCs w:val="24"/>
        </w:rPr>
      </w:pPr>
      <w:r w:rsidRPr="00806E4D">
        <w:rPr>
          <w:rFonts w:cs="Times New Roman"/>
          <w:b/>
          <w:bCs/>
          <w:szCs w:val="24"/>
        </w:rPr>
        <w:t>RESUMEN</w:t>
      </w:r>
    </w:p>
    <w:p w14:paraId="303070F2" w14:textId="77777777" w:rsidR="00234F13" w:rsidRDefault="00C246EC" w:rsidP="00234F13">
      <w:pPr>
        <w:spacing w:line="240" w:lineRule="auto"/>
        <w:jc w:val="both"/>
        <w:rPr>
          <w:rFonts w:cs="Times New Roman"/>
          <w:szCs w:val="24"/>
        </w:rPr>
      </w:pPr>
      <w:proofErr w:type="spellStart"/>
      <w:r w:rsidRPr="000A327E">
        <w:rPr>
          <w:rFonts w:cs="Times New Roman"/>
          <w:b/>
          <w:bCs/>
          <w:szCs w:val="24"/>
        </w:rPr>
        <w:t>Justificación</w:t>
      </w:r>
      <w:proofErr w:type="spellEnd"/>
      <w:r w:rsidRPr="000A327E">
        <w:rPr>
          <w:rFonts w:cs="Times New Roman"/>
          <w:b/>
          <w:bCs/>
          <w:szCs w:val="24"/>
        </w:rPr>
        <w:t xml:space="preserve"> y Objetivos</w:t>
      </w:r>
      <w:r>
        <w:rPr>
          <w:rFonts w:cs="Times New Roman"/>
          <w:b/>
          <w:bCs/>
          <w:szCs w:val="24"/>
        </w:rPr>
        <w:t>:</w:t>
      </w:r>
      <w:r w:rsidRPr="00F86BB8">
        <w:rPr>
          <w:rFonts w:cs="Times New Roman"/>
          <w:szCs w:val="24"/>
        </w:rPr>
        <w:t xml:space="preserve"> </w:t>
      </w:r>
      <w:proofErr w:type="spellStart"/>
      <w:r w:rsidRPr="00F86BB8">
        <w:rPr>
          <w:rFonts w:cs="Times New Roman"/>
          <w:szCs w:val="24"/>
        </w:rPr>
        <w:t>Evaluar</w:t>
      </w:r>
      <w:proofErr w:type="spellEnd"/>
      <w:r w:rsidRPr="00F86BB8">
        <w:rPr>
          <w:rFonts w:cs="Times New Roman"/>
          <w:szCs w:val="24"/>
        </w:rPr>
        <w:t xml:space="preserve"> </w:t>
      </w:r>
      <w:proofErr w:type="spellStart"/>
      <w:r w:rsidRPr="00F86BB8">
        <w:rPr>
          <w:rFonts w:cs="Times New Roman"/>
          <w:szCs w:val="24"/>
        </w:rPr>
        <w:t>el</w:t>
      </w:r>
      <w:proofErr w:type="spellEnd"/>
      <w:r w:rsidRPr="00F86BB8">
        <w:rPr>
          <w:rFonts w:cs="Times New Roman"/>
          <w:szCs w:val="24"/>
        </w:rPr>
        <w:t xml:space="preserve"> </w:t>
      </w:r>
      <w:proofErr w:type="spellStart"/>
      <w:r w:rsidRPr="00F86BB8">
        <w:rPr>
          <w:rFonts w:cs="Times New Roman"/>
          <w:szCs w:val="24"/>
        </w:rPr>
        <w:t>efecto</w:t>
      </w:r>
      <w:proofErr w:type="spellEnd"/>
      <w:r w:rsidRPr="00F86BB8">
        <w:rPr>
          <w:rFonts w:cs="Times New Roman"/>
          <w:szCs w:val="24"/>
        </w:rPr>
        <w:t xml:space="preserve"> de </w:t>
      </w:r>
      <w:proofErr w:type="spellStart"/>
      <w:r w:rsidRPr="00F86BB8">
        <w:rPr>
          <w:rFonts w:cs="Times New Roman"/>
          <w:szCs w:val="24"/>
        </w:rPr>
        <w:t>la</w:t>
      </w:r>
      <w:proofErr w:type="spellEnd"/>
      <w:r w:rsidRPr="00F86BB8">
        <w:rPr>
          <w:rFonts w:cs="Times New Roman"/>
          <w:szCs w:val="24"/>
        </w:rPr>
        <w:t xml:space="preserve"> COVID-19 </w:t>
      </w:r>
      <w:proofErr w:type="spellStart"/>
      <w:r w:rsidRPr="00F86BB8">
        <w:rPr>
          <w:rFonts w:cs="Times New Roman"/>
          <w:szCs w:val="24"/>
        </w:rPr>
        <w:t>en</w:t>
      </w:r>
      <w:proofErr w:type="spellEnd"/>
      <w:r w:rsidRPr="00F86BB8">
        <w:rPr>
          <w:rFonts w:cs="Times New Roman"/>
          <w:szCs w:val="24"/>
        </w:rPr>
        <w:t xml:space="preserve"> </w:t>
      </w:r>
      <w:proofErr w:type="spellStart"/>
      <w:r w:rsidRPr="00F86BB8">
        <w:rPr>
          <w:rFonts w:cs="Times New Roman"/>
          <w:szCs w:val="24"/>
        </w:rPr>
        <w:t>la</w:t>
      </w:r>
      <w:proofErr w:type="spellEnd"/>
      <w:r w:rsidRPr="00F86BB8">
        <w:rPr>
          <w:rFonts w:cs="Times New Roman"/>
          <w:szCs w:val="24"/>
        </w:rPr>
        <w:t xml:space="preserve"> cobertura de </w:t>
      </w:r>
      <w:proofErr w:type="spellStart"/>
      <w:r w:rsidRPr="00F86BB8">
        <w:rPr>
          <w:rFonts w:cs="Times New Roman"/>
          <w:szCs w:val="24"/>
        </w:rPr>
        <w:t>vacunación</w:t>
      </w:r>
      <w:proofErr w:type="spellEnd"/>
      <w:r w:rsidRPr="00F86BB8">
        <w:rPr>
          <w:rFonts w:cs="Times New Roman"/>
          <w:szCs w:val="24"/>
        </w:rPr>
        <w:t xml:space="preserve"> </w:t>
      </w:r>
      <w:proofErr w:type="spellStart"/>
      <w:r w:rsidRPr="00F86BB8">
        <w:rPr>
          <w:rFonts w:cs="Times New Roman"/>
          <w:szCs w:val="24"/>
        </w:rPr>
        <w:t>en</w:t>
      </w:r>
      <w:proofErr w:type="spellEnd"/>
      <w:r w:rsidRPr="00F86BB8">
        <w:rPr>
          <w:rFonts w:cs="Times New Roman"/>
          <w:szCs w:val="24"/>
        </w:rPr>
        <w:t xml:space="preserve"> Brasil entre </w:t>
      </w:r>
      <w:proofErr w:type="spellStart"/>
      <w:r w:rsidRPr="00F86BB8">
        <w:rPr>
          <w:rFonts w:cs="Times New Roman"/>
          <w:szCs w:val="24"/>
        </w:rPr>
        <w:t>poblaciones</w:t>
      </w:r>
      <w:proofErr w:type="spellEnd"/>
      <w:r w:rsidRPr="00F86BB8">
        <w:rPr>
          <w:rFonts w:cs="Times New Roman"/>
          <w:szCs w:val="24"/>
        </w:rPr>
        <w:t xml:space="preserve"> indígenas. </w:t>
      </w:r>
      <w:r w:rsidRPr="00F86BB8">
        <w:rPr>
          <w:rFonts w:cs="Times New Roman"/>
          <w:b/>
          <w:bCs/>
          <w:szCs w:val="24"/>
        </w:rPr>
        <w:t>Métodos:</w:t>
      </w:r>
      <w:r w:rsidRPr="00F86BB8">
        <w:rPr>
          <w:rFonts w:cs="Times New Roman"/>
          <w:szCs w:val="24"/>
        </w:rPr>
        <w:t xml:space="preserve"> Se </w:t>
      </w:r>
      <w:proofErr w:type="spellStart"/>
      <w:r w:rsidRPr="00F86BB8">
        <w:rPr>
          <w:rFonts w:cs="Times New Roman"/>
          <w:szCs w:val="24"/>
        </w:rPr>
        <w:t>realizó</w:t>
      </w:r>
      <w:proofErr w:type="spellEnd"/>
      <w:r w:rsidRPr="00F86BB8">
        <w:rPr>
          <w:rFonts w:cs="Times New Roman"/>
          <w:szCs w:val="24"/>
        </w:rPr>
        <w:t xml:space="preserve"> </w:t>
      </w:r>
      <w:proofErr w:type="spellStart"/>
      <w:r w:rsidRPr="00F86BB8">
        <w:rPr>
          <w:rFonts w:cs="Times New Roman"/>
          <w:szCs w:val="24"/>
        </w:rPr>
        <w:t>un</w:t>
      </w:r>
      <w:proofErr w:type="spellEnd"/>
      <w:r w:rsidRPr="00F86BB8">
        <w:rPr>
          <w:rFonts w:cs="Times New Roman"/>
          <w:szCs w:val="24"/>
        </w:rPr>
        <w:t xml:space="preserve"> </w:t>
      </w:r>
      <w:proofErr w:type="spellStart"/>
      <w:r w:rsidRPr="00F86BB8">
        <w:rPr>
          <w:rFonts w:cs="Times New Roman"/>
          <w:szCs w:val="24"/>
        </w:rPr>
        <w:t>estudio</w:t>
      </w:r>
      <w:proofErr w:type="spellEnd"/>
      <w:r w:rsidRPr="00F86BB8">
        <w:rPr>
          <w:rFonts w:cs="Times New Roman"/>
          <w:szCs w:val="24"/>
        </w:rPr>
        <w:t xml:space="preserve"> ecológico utilizando </w:t>
      </w:r>
      <w:proofErr w:type="spellStart"/>
      <w:r w:rsidRPr="00F86BB8">
        <w:rPr>
          <w:rFonts w:cs="Times New Roman"/>
          <w:szCs w:val="24"/>
        </w:rPr>
        <w:t>datos</w:t>
      </w:r>
      <w:proofErr w:type="spellEnd"/>
      <w:r w:rsidRPr="00F86BB8">
        <w:rPr>
          <w:rFonts w:cs="Times New Roman"/>
          <w:szCs w:val="24"/>
        </w:rPr>
        <w:t xml:space="preserve"> </w:t>
      </w:r>
      <w:proofErr w:type="spellStart"/>
      <w:r w:rsidRPr="00F86BB8">
        <w:rPr>
          <w:rFonts w:cs="Times New Roman"/>
          <w:szCs w:val="24"/>
        </w:rPr>
        <w:t>secundarios</w:t>
      </w:r>
      <w:proofErr w:type="spellEnd"/>
      <w:r w:rsidRPr="00F86BB8">
        <w:rPr>
          <w:rFonts w:cs="Times New Roman"/>
          <w:szCs w:val="24"/>
        </w:rPr>
        <w:t xml:space="preserve"> </w:t>
      </w:r>
      <w:proofErr w:type="spellStart"/>
      <w:r w:rsidRPr="00F86BB8">
        <w:rPr>
          <w:rFonts w:cs="Times New Roman"/>
          <w:szCs w:val="24"/>
        </w:rPr>
        <w:t>obtenidos</w:t>
      </w:r>
      <w:proofErr w:type="spellEnd"/>
      <w:r w:rsidRPr="00F86BB8">
        <w:rPr>
          <w:rFonts w:cs="Times New Roman"/>
          <w:szCs w:val="24"/>
        </w:rPr>
        <w:t xml:space="preserve"> de </w:t>
      </w:r>
      <w:proofErr w:type="spellStart"/>
      <w:r w:rsidRPr="00F86BB8">
        <w:rPr>
          <w:rFonts w:cs="Times New Roman"/>
          <w:szCs w:val="24"/>
        </w:rPr>
        <w:t>los</w:t>
      </w:r>
      <w:proofErr w:type="spellEnd"/>
      <w:r w:rsidRPr="00F86BB8">
        <w:rPr>
          <w:rFonts w:cs="Times New Roman"/>
          <w:szCs w:val="24"/>
        </w:rPr>
        <w:t xml:space="preserve"> sistemas de </w:t>
      </w:r>
      <w:proofErr w:type="spellStart"/>
      <w:r w:rsidRPr="00F86BB8">
        <w:rPr>
          <w:rFonts w:cs="Times New Roman"/>
          <w:szCs w:val="24"/>
        </w:rPr>
        <w:t>información</w:t>
      </w:r>
      <w:proofErr w:type="spellEnd"/>
      <w:r w:rsidRPr="00F86BB8">
        <w:rPr>
          <w:rFonts w:cs="Times New Roman"/>
          <w:szCs w:val="24"/>
        </w:rPr>
        <w:t xml:space="preserve"> </w:t>
      </w:r>
      <w:proofErr w:type="spellStart"/>
      <w:r w:rsidRPr="00F86BB8">
        <w:rPr>
          <w:rFonts w:cs="Times New Roman"/>
          <w:szCs w:val="24"/>
        </w:rPr>
        <w:t>oficiales</w:t>
      </w:r>
      <w:proofErr w:type="spellEnd"/>
      <w:r w:rsidRPr="00F86BB8">
        <w:rPr>
          <w:rFonts w:cs="Times New Roman"/>
          <w:szCs w:val="24"/>
        </w:rPr>
        <w:t xml:space="preserve"> </w:t>
      </w:r>
      <w:proofErr w:type="spellStart"/>
      <w:r w:rsidRPr="00F86BB8">
        <w:rPr>
          <w:rFonts w:cs="Times New Roman"/>
          <w:szCs w:val="24"/>
        </w:rPr>
        <w:t>brasileños</w:t>
      </w:r>
      <w:proofErr w:type="spellEnd"/>
      <w:r w:rsidRPr="00F86BB8">
        <w:rPr>
          <w:rFonts w:cs="Times New Roman"/>
          <w:szCs w:val="24"/>
        </w:rPr>
        <w:t xml:space="preserve"> sobre </w:t>
      </w:r>
      <w:proofErr w:type="spellStart"/>
      <w:r w:rsidRPr="00F86BB8">
        <w:rPr>
          <w:rFonts w:cs="Times New Roman"/>
          <w:szCs w:val="24"/>
        </w:rPr>
        <w:t>la</w:t>
      </w:r>
      <w:proofErr w:type="spellEnd"/>
      <w:r w:rsidRPr="00F86BB8">
        <w:rPr>
          <w:rFonts w:cs="Times New Roman"/>
          <w:szCs w:val="24"/>
        </w:rPr>
        <w:t xml:space="preserve"> </w:t>
      </w:r>
      <w:proofErr w:type="spellStart"/>
      <w:r w:rsidRPr="00F86BB8">
        <w:rPr>
          <w:rFonts w:cs="Times New Roman"/>
          <w:szCs w:val="24"/>
        </w:rPr>
        <w:t>tasa</w:t>
      </w:r>
      <w:proofErr w:type="spellEnd"/>
      <w:r w:rsidRPr="00F86BB8">
        <w:rPr>
          <w:rFonts w:cs="Times New Roman"/>
          <w:szCs w:val="24"/>
        </w:rPr>
        <w:t xml:space="preserve"> de cobertura vacunal contra </w:t>
      </w:r>
      <w:proofErr w:type="spellStart"/>
      <w:r w:rsidRPr="00F86BB8">
        <w:rPr>
          <w:rFonts w:cs="Times New Roman"/>
          <w:szCs w:val="24"/>
        </w:rPr>
        <w:t>el</w:t>
      </w:r>
      <w:proofErr w:type="spellEnd"/>
      <w:r w:rsidRPr="00F86BB8">
        <w:rPr>
          <w:rFonts w:cs="Times New Roman"/>
          <w:szCs w:val="24"/>
        </w:rPr>
        <w:t xml:space="preserve"> Meningococo C Conjugado, Bacilo de </w:t>
      </w:r>
      <w:proofErr w:type="spellStart"/>
      <w:r w:rsidRPr="00F86BB8">
        <w:rPr>
          <w:rFonts w:cs="Times New Roman"/>
          <w:szCs w:val="24"/>
        </w:rPr>
        <w:t>Calmette</w:t>
      </w:r>
      <w:proofErr w:type="spellEnd"/>
      <w:r w:rsidRPr="00F86BB8">
        <w:rPr>
          <w:rFonts w:cs="Times New Roman"/>
          <w:szCs w:val="24"/>
        </w:rPr>
        <w:t xml:space="preserve">-Guérin, </w:t>
      </w:r>
      <w:proofErr w:type="spellStart"/>
      <w:r w:rsidRPr="00F86BB8">
        <w:rPr>
          <w:rFonts w:cs="Times New Roman"/>
          <w:szCs w:val="24"/>
        </w:rPr>
        <w:t>Fiebre</w:t>
      </w:r>
      <w:proofErr w:type="spellEnd"/>
      <w:r w:rsidRPr="00F86BB8">
        <w:rPr>
          <w:rFonts w:cs="Times New Roman"/>
          <w:szCs w:val="24"/>
        </w:rPr>
        <w:t xml:space="preserve"> Amarilla y </w:t>
      </w:r>
      <w:proofErr w:type="spellStart"/>
      <w:r w:rsidRPr="00F86BB8">
        <w:rPr>
          <w:rFonts w:cs="Times New Roman"/>
          <w:szCs w:val="24"/>
        </w:rPr>
        <w:t>Neumococo</w:t>
      </w:r>
      <w:proofErr w:type="spellEnd"/>
      <w:r w:rsidRPr="00F86BB8">
        <w:rPr>
          <w:rFonts w:cs="Times New Roman"/>
          <w:szCs w:val="24"/>
        </w:rPr>
        <w:t xml:space="preserve"> Conjugado 10-valente </w:t>
      </w:r>
      <w:proofErr w:type="spellStart"/>
      <w:r w:rsidRPr="00F86BB8">
        <w:rPr>
          <w:rFonts w:cs="Times New Roman"/>
          <w:szCs w:val="24"/>
        </w:rPr>
        <w:t>en</w:t>
      </w:r>
      <w:proofErr w:type="spellEnd"/>
      <w:r w:rsidRPr="00F86BB8">
        <w:rPr>
          <w:rFonts w:cs="Times New Roman"/>
          <w:szCs w:val="24"/>
        </w:rPr>
        <w:t xml:space="preserve"> </w:t>
      </w:r>
      <w:proofErr w:type="spellStart"/>
      <w:r w:rsidRPr="00F86BB8">
        <w:rPr>
          <w:rFonts w:cs="Times New Roman"/>
          <w:szCs w:val="24"/>
        </w:rPr>
        <w:t>las</w:t>
      </w:r>
      <w:proofErr w:type="spellEnd"/>
      <w:r w:rsidRPr="00F86BB8">
        <w:rPr>
          <w:rFonts w:cs="Times New Roman"/>
          <w:szCs w:val="24"/>
        </w:rPr>
        <w:t xml:space="preserve"> </w:t>
      </w:r>
      <w:proofErr w:type="spellStart"/>
      <w:r w:rsidRPr="00F86BB8">
        <w:rPr>
          <w:rFonts w:cs="Times New Roman"/>
          <w:szCs w:val="24"/>
        </w:rPr>
        <w:t>diez</w:t>
      </w:r>
      <w:proofErr w:type="spellEnd"/>
      <w:r w:rsidRPr="00F86BB8">
        <w:rPr>
          <w:rFonts w:cs="Times New Roman"/>
          <w:szCs w:val="24"/>
        </w:rPr>
        <w:t xml:space="preserve"> localidades </w:t>
      </w:r>
      <w:proofErr w:type="spellStart"/>
      <w:r w:rsidRPr="00F86BB8">
        <w:rPr>
          <w:rFonts w:cs="Times New Roman"/>
          <w:szCs w:val="24"/>
        </w:rPr>
        <w:t>con</w:t>
      </w:r>
      <w:proofErr w:type="spellEnd"/>
      <w:r w:rsidRPr="00F86BB8">
        <w:rPr>
          <w:rFonts w:cs="Times New Roman"/>
          <w:szCs w:val="24"/>
        </w:rPr>
        <w:t xml:space="preserve"> </w:t>
      </w:r>
      <w:proofErr w:type="spellStart"/>
      <w:r w:rsidRPr="00F86BB8">
        <w:rPr>
          <w:rFonts w:cs="Times New Roman"/>
          <w:szCs w:val="24"/>
        </w:rPr>
        <w:t>mayor</w:t>
      </w:r>
      <w:proofErr w:type="spellEnd"/>
      <w:r w:rsidRPr="00F86BB8">
        <w:rPr>
          <w:rFonts w:cs="Times New Roman"/>
          <w:szCs w:val="24"/>
        </w:rPr>
        <w:t xml:space="preserve"> </w:t>
      </w:r>
      <w:proofErr w:type="spellStart"/>
      <w:r w:rsidRPr="00F86BB8">
        <w:rPr>
          <w:rFonts w:cs="Times New Roman"/>
          <w:szCs w:val="24"/>
        </w:rPr>
        <w:t>población</w:t>
      </w:r>
      <w:proofErr w:type="spellEnd"/>
      <w:r w:rsidRPr="00F86BB8">
        <w:rPr>
          <w:rFonts w:cs="Times New Roman"/>
          <w:szCs w:val="24"/>
        </w:rPr>
        <w:t xml:space="preserve"> indígena de 2018 a 2022. </w:t>
      </w:r>
      <w:r w:rsidRPr="00F86BB8">
        <w:rPr>
          <w:rFonts w:cs="Times New Roman"/>
          <w:b/>
          <w:bCs/>
          <w:szCs w:val="24"/>
        </w:rPr>
        <w:t>Resultados:</w:t>
      </w:r>
      <w:r w:rsidRPr="00F86BB8">
        <w:rPr>
          <w:rFonts w:cs="Times New Roman"/>
          <w:szCs w:val="24"/>
        </w:rPr>
        <w:t xml:space="preserve"> </w:t>
      </w:r>
      <w:r>
        <w:rPr>
          <w:rFonts w:cs="Times New Roman"/>
          <w:szCs w:val="24"/>
        </w:rPr>
        <w:t>S</w:t>
      </w:r>
      <w:r w:rsidRPr="00F86BB8">
        <w:rPr>
          <w:rFonts w:cs="Times New Roman"/>
          <w:szCs w:val="24"/>
        </w:rPr>
        <w:t xml:space="preserve">e </w:t>
      </w:r>
      <w:proofErr w:type="spellStart"/>
      <w:r w:rsidRPr="00F86BB8">
        <w:rPr>
          <w:rFonts w:cs="Times New Roman"/>
          <w:szCs w:val="24"/>
        </w:rPr>
        <w:t>encontraron</w:t>
      </w:r>
      <w:proofErr w:type="spellEnd"/>
      <w:r w:rsidRPr="00F86BB8">
        <w:rPr>
          <w:rFonts w:cs="Times New Roman"/>
          <w:szCs w:val="24"/>
        </w:rPr>
        <w:t xml:space="preserve"> heterogeneidades </w:t>
      </w:r>
      <w:proofErr w:type="spellStart"/>
      <w:r w:rsidRPr="00F86BB8">
        <w:rPr>
          <w:rFonts w:cs="Times New Roman"/>
          <w:szCs w:val="24"/>
        </w:rPr>
        <w:t>en</w:t>
      </w:r>
      <w:proofErr w:type="spellEnd"/>
      <w:r w:rsidRPr="00F86BB8">
        <w:rPr>
          <w:rFonts w:cs="Times New Roman"/>
          <w:szCs w:val="24"/>
        </w:rPr>
        <w:t xml:space="preserve"> </w:t>
      </w:r>
      <w:proofErr w:type="spellStart"/>
      <w:r w:rsidRPr="00F86BB8">
        <w:rPr>
          <w:rFonts w:cs="Times New Roman"/>
          <w:szCs w:val="24"/>
        </w:rPr>
        <w:t>la</w:t>
      </w:r>
      <w:proofErr w:type="spellEnd"/>
      <w:r w:rsidRPr="00F86BB8">
        <w:rPr>
          <w:rFonts w:cs="Times New Roman"/>
          <w:szCs w:val="24"/>
        </w:rPr>
        <w:t xml:space="preserve"> cobertura de </w:t>
      </w:r>
      <w:proofErr w:type="spellStart"/>
      <w:r w:rsidRPr="00F86BB8">
        <w:rPr>
          <w:rFonts w:cs="Times New Roman"/>
          <w:szCs w:val="24"/>
        </w:rPr>
        <w:t>vacunación</w:t>
      </w:r>
      <w:proofErr w:type="spellEnd"/>
      <w:r w:rsidRPr="00F86BB8">
        <w:rPr>
          <w:rFonts w:cs="Times New Roman"/>
          <w:szCs w:val="24"/>
        </w:rPr>
        <w:t xml:space="preserve"> indígena. </w:t>
      </w:r>
      <w:proofErr w:type="spellStart"/>
      <w:r w:rsidRPr="00F86BB8">
        <w:rPr>
          <w:rFonts w:cs="Times New Roman"/>
          <w:szCs w:val="24"/>
        </w:rPr>
        <w:t>Además</w:t>
      </w:r>
      <w:proofErr w:type="spellEnd"/>
      <w:r w:rsidRPr="00F86BB8">
        <w:rPr>
          <w:rFonts w:cs="Times New Roman"/>
          <w:szCs w:val="24"/>
        </w:rPr>
        <w:t xml:space="preserve">, </w:t>
      </w:r>
      <w:proofErr w:type="spellStart"/>
      <w:r w:rsidRPr="00F86BB8">
        <w:rPr>
          <w:rFonts w:cs="Times New Roman"/>
          <w:szCs w:val="24"/>
        </w:rPr>
        <w:t>hubo</w:t>
      </w:r>
      <w:proofErr w:type="spellEnd"/>
      <w:r w:rsidRPr="00F86BB8">
        <w:rPr>
          <w:rFonts w:cs="Times New Roman"/>
          <w:szCs w:val="24"/>
        </w:rPr>
        <w:t xml:space="preserve"> una </w:t>
      </w:r>
      <w:proofErr w:type="spellStart"/>
      <w:r w:rsidRPr="00F86BB8">
        <w:rPr>
          <w:rFonts w:cs="Times New Roman"/>
          <w:szCs w:val="24"/>
        </w:rPr>
        <w:t>reducción</w:t>
      </w:r>
      <w:proofErr w:type="spellEnd"/>
      <w:r w:rsidRPr="00F86BB8">
        <w:rPr>
          <w:rFonts w:cs="Times New Roman"/>
          <w:szCs w:val="24"/>
        </w:rPr>
        <w:t xml:space="preserve"> de aproximadamente </w:t>
      </w:r>
      <w:proofErr w:type="spellStart"/>
      <w:r w:rsidRPr="00F86BB8">
        <w:rPr>
          <w:rFonts w:cs="Times New Roman"/>
          <w:szCs w:val="24"/>
        </w:rPr>
        <w:t>el</w:t>
      </w:r>
      <w:proofErr w:type="spellEnd"/>
      <w:r w:rsidRPr="00F86BB8">
        <w:rPr>
          <w:rFonts w:cs="Times New Roman"/>
          <w:szCs w:val="24"/>
        </w:rPr>
        <w:t xml:space="preserve"> 40%, 24%, 36% y 50% </w:t>
      </w:r>
      <w:proofErr w:type="spellStart"/>
      <w:r w:rsidRPr="00F86BB8">
        <w:rPr>
          <w:rFonts w:cs="Times New Roman"/>
          <w:szCs w:val="24"/>
        </w:rPr>
        <w:t>en</w:t>
      </w:r>
      <w:proofErr w:type="spellEnd"/>
      <w:r w:rsidRPr="00F86BB8">
        <w:rPr>
          <w:rFonts w:cs="Times New Roman"/>
          <w:szCs w:val="24"/>
        </w:rPr>
        <w:t xml:space="preserve"> </w:t>
      </w:r>
      <w:proofErr w:type="spellStart"/>
      <w:r w:rsidRPr="00F86BB8">
        <w:rPr>
          <w:rFonts w:cs="Times New Roman"/>
          <w:szCs w:val="24"/>
        </w:rPr>
        <w:t>la</w:t>
      </w:r>
      <w:proofErr w:type="spellEnd"/>
      <w:r w:rsidRPr="00F86BB8">
        <w:rPr>
          <w:rFonts w:cs="Times New Roman"/>
          <w:szCs w:val="24"/>
        </w:rPr>
        <w:t xml:space="preserve"> </w:t>
      </w:r>
      <w:proofErr w:type="spellStart"/>
      <w:r w:rsidRPr="00F86BB8">
        <w:rPr>
          <w:rFonts w:cs="Times New Roman"/>
          <w:szCs w:val="24"/>
        </w:rPr>
        <w:t>tasa</w:t>
      </w:r>
      <w:proofErr w:type="spellEnd"/>
      <w:r w:rsidRPr="00F86BB8">
        <w:rPr>
          <w:rFonts w:cs="Times New Roman"/>
          <w:szCs w:val="24"/>
        </w:rPr>
        <w:t xml:space="preserve"> de cobertura de </w:t>
      </w:r>
      <w:proofErr w:type="spellStart"/>
      <w:r w:rsidRPr="00F86BB8">
        <w:rPr>
          <w:rFonts w:cs="Times New Roman"/>
          <w:szCs w:val="24"/>
        </w:rPr>
        <w:t>vacunación</w:t>
      </w:r>
      <w:proofErr w:type="spellEnd"/>
      <w:r w:rsidRPr="00F86BB8">
        <w:rPr>
          <w:rFonts w:cs="Times New Roman"/>
          <w:szCs w:val="24"/>
        </w:rPr>
        <w:t xml:space="preserve"> para </w:t>
      </w:r>
      <w:proofErr w:type="spellStart"/>
      <w:r w:rsidRPr="00F86BB8">
        <w:rPr>
          <w:rFonts w:cs="Times New Roman"/>
          <w:szCs w:val="24"/>
        </w:rPr>
        <w:t>la</w:t>
      </w:r>
      <w:proofErr w:type="spellEnd"/>
      <w:r w:rsidRPr="00F86BB8">
        <w:rPr>
          <w:rFonts w:cs="Times New Roman"/>
          <w:szCs w:val="24"/>
        </w:rPr>
        <w:t xml:space="preserve"> vacuna conjugada contra </w:t>
      </w:r>
      <w:proofErr w:type="spellStart"/>
      <w:r w:rsidRPr="00F86BB8">
        <w:rPr>
          <w:rFonts w:cs="Times New Roman"/>
          <w:szCs w:val="24"/>
        </w:rPr>
        <w:t>el</w:t>
      </w:r>
      <w:proofErr w:type="spellEnd"/>
      <w:r w:rsidRPr="00F86BB8">
        <w:rPr>
          <w:rFonts w:cs="Times New Roman"/>
          <w:szCs w:val="24"/>
        </w:rPr>
        <w:t xml:space="preserve"> meningococo C, </w:t>
      </w:r>
      <w:proofErr w:type="spellStart"/>
      <w:r w:rsidRPr="00F86BB8">
        <w:rPr>
          <w:rFonts w:cs="Times New Roman"/>
          <w:szCs w:val="24"/>
        </w:rPr>
        <w:t>el</w:t>
      </w:r>
      <w:proofErr w:type="spellEnd"/>
      <w:r w:rsidRPr="00F86BB8">
        <w:rPr>
          <w:rFonts w:cs="Times New Roman"/>
          <w:szCs w:val="24"/>
        </w:rPr>
        <w:t xml:space="preserve"> bacilo de </w:t>
      </w:r>
      <w:proofErr w:type="spellStart"/>
      <w:r w:rsidRPr="00F86BB8">
        <w:rPr>
          <w:rFonts w:cs="Times New Roman"/>
          <w:szCs w:val="24"/>
        </w:rPr>
        <w:t>Calmette</w:t>
      </w:r>
      <w:proofErr w:type="spellEnd"/>
      <w:r w:rsidRPr="00F86BB8">
        <w:rPr>
          <w:rFonts w:cs="Times New Roman"/>
          <w:szCs w:val="24"/>
        </w:rPr>
        <w:t xml:space="preserve">-Guérin, </w:t>
      </w:r>
      <w:proofErr w:type="spellStart"/>
      <w:r w:rsidRPr="00F86BB8">
        <w:rPr>
          <w:rFonts w:cs="Times New Roman"/>
          <w:szCs w:val="24"/>
        </w:rPr>
        <w:t>la</w:t>
      </w:r>
      <w:proofErr w:type="spellEnd"/>
      <w:r w:rsidRPr="00F86BB8">
        <w:rPr>
          <w:rFonts w:cs="Times New Roman"/>
          <w:szCs w:val="24"/>
        </w:rPr>
        <w:t xml:space="preserve"> </w:t>
      </w:r>
      <w:proofErr w:type="spellStart"/>
      <w:r w:rsidRPr="00F86BB8">
        <w:rPr>
          <w:rFonts w:cs="Times New Roman"/>
          <w:szCs w:val="24"/>
        </w:rPr>
        <w:t>fiebre</w:t>
      </w:r>
      <w:proofErr w:type="spellEnd"/>
      <w:r w:rsidRPr="00F86BB8">
        <w:rPr>
          <w:rFonts w:cs="Times New Roman"/>
          <w:szCs w:val="24"/>
        </w:rPr>
        <w:t xml:space="preserve"> </w:t>
      </w:r>
      <w:proofErr w:type="spellStart"/>
      <w:r w:rsidRPr="00F86BB8">
        <w:rPr>
          <w:rFonts w:cs="Times New Roman"/>
          <w:szCs w:val="24"/>
        </w:rPr>
        <w:t>amarilla</w:t>
      </w:r>
      <w:proofErr w:type="spellEnd"/>
      <w:r w:rsidRPr="00F86BB8">
        <w:rPr>
          <w:rFonts w:cs="Times New Roman"/>
          <w:szCs w:val="24"/>
        </w:rPr>
        <w:t xml:space="preserve"> y </w:t>
      </w:r>
      <w:proofErr w:type="spellStart"/>
      <w:r w:rsidRPr="00F86BB8">
        <w:rPr>
          <w:rFonts w:cs="Times New Roman"/>
          <w:szCs w:val="24"/>
        </w:rPr>
        <w:t>la</w:t>
      </w:r>
      <w:proofErr w:type="spellEnd"/>
      <w:r w:rsidRPr="00F86BB8">
        <w:rPr>
          <w:rFonts w:cs="Times New Roman"/>
          <w:szCs w:val="24"/>
        </w:rPr>
        <w:t xml:space="preserve"> vacuna conjugada contra </w:t>
      </w:r>
      <w:proofErr w:type="spellStart"/>
      <w:r w:rsidRPr="00F86BB8">
        <w:rPr>
          <w:rFonts w:cs="Times New Roman"/>
          <w:szCs w:val="24"/>
        </w:rPr>
        <w:t>el</w:t>
      </w:r>
      <w:proofErr w:type="spellEnd"/>
      <w:r w:rsidRPr="00F86BB8">
        <w:rPr>
          <w:rFonts w:cs="Times New Roman"/>
          <w:szCs w:val="24"/>
        </w:rPr>
        <w:t xml:space="preserve"> </w:t>
      </w:r>
      <w:proofErr w:type="spellStart"/>
      <w:r w:rsidRPr="00F86BB8">
        <w:rPr>
          <w:rFonts w:cs="Times New Roman"/>
          <w:szCs w:val="24"/>
        </w:rPr>
        <w:t>neumococo</w:t>
      </w:r>
      <w:proofErr w:type="spellEnd"/>
      <w:r w:rsidRPr="00F86BB8">
        <w:rPr>
          <w:rFonts w:cs="Times New Roman"/>
          <w:szCs w:val="24"/>
        </w:rPr>
        <w:t xml:space="preserve"> 10-valente, respectivamente. </w:t>
      </w:r>
      <w:proofErr w:type="spellStart"/>
      <w:r w:rsidRPr="00F86BB8">
        <w:rPr>
          <w:rFonts w:cs="Times New Roman"/>
          <w:b/>
          <w:bCs/>
          <w:szCs w:val="24"/>
        </w:rPr>
        <w:t>Conclusión</w:t>
      </w:r>
      <w:proofErr w:type="spellEnd"/>
      <w:r w:rsidRPr="00F86BB8">
        <w:rPr>
          <w:rFonts w:cs="Times New Roman"/>
          <w:b/>
          <w:bCs/>
          <w:szCs w:val="24"/>
        </w:rPr>
        <w:t>:</w:t>
      </w:r>
      <w:r w:rsidRPr="00F86BB8">
        <w:rPr>
          <w:rFonts w:cs="Times New Roman"/>
          <w:szCs w:val="24"/>
        </w:rPr>
        <w:t xml:space="preserve"> </w:t>
      </w:r>
      <w:proofErr w:type="spellStart"/>
      <w:r w:rsidRPr="00F86BB8">
        <w:rPr>
          <w:rFonts w:cs="Times New Roman"/>
          <w:szCs w:val="24"/>
        </w:rPr>
        <w:t>Nuestros</w:t>
      </w:r>
      <w:proofErr w:type="spellEnd"/>
      <w:r w:rsidRPr="00F86BB8">
        <w:rPr>
          <w:rFonts w:cs="Times New Roman"/>
          <w:szCs w:val="24"/>
        </w:rPr>
        <w:t xml:space="preserve"> </w:t>
      </w:r>
      <w:proofErr w:type="spellStart"/>
      <w:r w:rsidRPr="00F86BB8">
        <w:rPr>
          <w:rFonts w:cs="Times New Roman"/>
          <w:szCs w:val="24"/>
        </w:rPr>
        <w:t>hallazgos</w:t>
      </w:r>
      <w:proofErr w:type="spellEnd"/>
      <w:r w:rsidRPr="00F86BB8">
        <w:rPr>
          <w:rFonts w:cs="Times New Roman"/>
          <w:szCs w:val="24"/>
        </w:rPr>
        <w:t xml:space="preserve"> </w:t>
      </w:r>
      <w:proofErr w:type="spellStart"/>
      <w:r w:rsidRPr="00F86BB8">
        <w:rPr>
          <w:rFonts w:cs="Times New Roman"/>
          <w:szCs w:val="24"/>
        </w:rPr>
        <w:t>refuerzan</w:t>
      </w:r>
      <w:proofErr w:type="spellEnd"/>
      <w:r w:rsidRPr="00F86BB8">
        <w:rPr>
          <w:rFonts w:cs="Times New Roman"/>
          <w:szCs w:val="24"/>
        </w:rPr>
        <w:t xml:space="preserve"> </w:t>
      </w:r>
      <w:proofErr w:type="spellStart"/>
      <w:r w:rsidRPr="00F86BB8">
        <w:rPr>
          <w:rFonts w:cs="Times New Roman"/>
          <w:szCs w:val="24"/>
        </w:rPr>
        <w:t>la</w:t>
      </w:r>
      <w:proofErr w:type="spellEnd"/>
      <w:r w:rsidRPr="00F86BB8">
        <w:rPr>
          <w:rFonts w:cs="Times New Roman"/>
          <w:szCs w:val="24"/>
        </w:rPr>
        <w:t xml:space="preserve"> </w:t>
      </w:r>
      <w:proofErr w:type="spellStart"/>
      <w:r w:rsidRPr="00F86BB8">
        <w:rPr>
          <w:rFonts w:cs="Times New Roman"/>
          <w:szCs w:val="24"/>
        </w:rPr>
        <w:t>importancia</w:t>
      </w:r>
      <w:proofErr w:type="spellEnd"/>
      <w:r w:rsidRPr="00F86BB8">
        <w:rPr>
          <w:rFonts w:cs="Times New Roman"/>
          <w:szCs w:val="24"/>
        </w:rPr>
        <w:t xml:space="preserve"> de adoptar </w:t>
      </w:r>
      <w:proofErr w:type="spellStart"/>
      <w:r w:rsidRPr="00F86BB8">
        <w:rPr>
          <w:rFonts w:cs="Times New Roman"/>
          <w:szCs w:val="24"/>
        </w:rPr>
        <w:t>campañas</w:t>
      </w:r>
      <w:proofErr w:type="spellEnd"/>
      <w:r w:rsidRPr="00F86BB8">
        <w:rPr>
          <w:rFonts w:cs="Times New Roman"/>
          <w:szCs w:val="24"/>
        </w:rPr>
        <w:t xml:space="preserve"> de </w:t>
      </w:r>
      <w:proofErr w:type="spellStart"/>
      <w:r w:rsidRPr="00F86BB8">
        <w:rPr>
          <w:rFonts w:cs="Times New Roman"/>
          <w:szCs w:val="24"/>
        </w:rPr>
        <w:t>vacunación</w:t>
      </w:r>
      <w:proofErr w:type="spellEnd"/>
      <w:r w:rsidRPr="00F86BB8">
        <w:rPr>
          <w:rFonts w:cs="Times New Roman"/>
          <w:szCs w:val="24"/>
        </w:rPr>
        <w:t xml:space="preserve"> entre </w:t>
      </w:r>
      <w:proofErr w:type="spellStart"/>
      <w:r w:rsidRPr="00F86BB8">
        <w:rPr>
          <w:rFonts w:cs="Times New Roman"/>
          <w:szCs w:val="24"/>
        </w:rPr>
        <w:t>las</w:t>
      </w:r>
      <w:proofErr w:type="spellEnd"/>
      <w:r w:rsidRPr="00F86BB8">
        <w:rPr>
          <w:rFonts w:cs="Times New Roman"/>
          <w:szCs w:val="24"/>
        </w:rPr>
        <w:t xml:space="preserve"> localidades indígenas.</w:t>
      </w:r>
      <w:r w:rsidR="00664256">
        <w:rPr>
          <w:rFonts w:cs="Times New Roman"/>
          <w:szCs w:val="24"/>
        </w:rPr>
        <w:t xml:space="preserve"> </w:t>
      </w:r>
    </w:p>
    <w:p w14:paraId="247101D1" w14:textId="7D75EDCB" w:rsidR="00C246EC" w:rsidRDefault="00E32A6D" w:rsidP="00234F13">
      <w:pPr>
        <w:spacing w:line="240" w:lineRule="auto"/>
        <w:jc w:val="both"/>
        <w:rPr>
          <w:rFonts w:cs="Times New Roman"/>
          <w:szCs w:val="24"/>
        </w:rPr>
      </w:pPr>
      <w:proofErr w:type="spellStart"/>
      <w:r w:rsidRPr="00F86BB8">
        <w:rPr>
          <w:rFonts w:cs="Times New Roman"/>
          <w:b/>
          <w:bCs/>
          <w:szCs w:val="24"/>
        </w:rPr>
        <w:lastRenderedPageBreak/>
        <w:t>Palabras</w:t>
      </w:r>
      <w:proofErr w:type="spellEnd"/>
      <w:r w:rsidRPr="00F86BB8">
        <w:rPr>
          <w:rFonts w:cs="Times New Roman"/>
          <w:b/>
          <w:bCs/>
          <w:szCs w:val="24"/>
        </w:rPr>
        <w:t xml:space="preserve"> </w:t>
      </w:r>
      <w:r>
        <w:rPr>
          <w:rFonts w:cs="Times New Roman"/>
          <w:b/>
          <w:bCs/>
          <w:szCs w:val="24"/>
        </w:rPr>
        <w:t>C</w:t>
      </w:r>
      <w:r w:rsidRPr="00F86BB8">
        <w:rPr>
          <w:rFonts w:cs="Times New Roman"/>
          <w:b/>
          <w:bCs/>
          <w:szCs w:val="24"/>
        </w:rPr>
        <w:t>lave:</w:t>
      </w:r>
      <w:r w:rsidR="00C246EC" w:rsidRPr="00F86BB8">
        <w:rPr>
          <w:rFonts w:cs="Times New Roman"/>
          <w:szCs w:val="24"/>
        </w:rPr>
        <w:t xml:space="preserve"> Sistema de </w:t>
      </w:r>
      <w:proofErr w:type="spellStart"/>
      <w:r w:rsidR="00C246EC" w:rsidRPr="00F86BB8">
        <w:rPr>
          <w:rFonts w:cs="Times New Roman"/>
          <w:szCs w:val="24"/>
        </w:rPr>
        <w:t>salud</w:t>
      </w:r>
      <w:proofErr w:type="spellEnd"/>
      <w:r w:rsidR="00C246EC" w:rsidRPr="00F86BB8">
        <w:rPr>
          <w:rFonts w:cs="Times New Roman"/>
          <w:szCs w:val="24"/>
        </w:rPr>
        <w:t xml:space="preserve"> indígena; desigualdades; </w:t>
      </w:r>
      <w:proofErr w:type="spellStart"/>
      <w:r w:rsidR="00C246EC" w:rsidRPr="00F86BB8">
        <w:rPr>
          <w:rFonts w:cs="Times New Roman"/>
          <w:szCs w:val="24"/>
        </w:rPr>
        <w:t>inmunización</w:t>
      </w:r>
      <w:proofErr w:type="spellEnd"/>
      <w:r w:rsidR="00C246EC" w:rsidRPr="00F86BB8">
        <w:rPr>
          <w:rFonts w:cs="Times New Roman"/>
          <w:szCs w:val="24"/>
        </w:rPr>
        <w:t xml:space="preserve">; </w:t>
      </w:r>
      <w:proofErr w:type="spellStart"/>
      <w:r w:rsidR="00C246EC" w:rsidRPr="00F86BB8">
        <w:rPr>
          <w:rFonts w:cs="Times New Roman"/>
          <w:szCs w:val="24"/>
        </w:rPr>
        <w:t>Vigilancia</w:t>
      </w:r>
      <w:proofErr w:type="spellEnd"/>
      <w:r w:rsidR="00C246EC" w:rsidRPr="00F86BB8">
        <w:rPr>
          <w:rFonts w:cs="Times New Roman"/>
          <w:szCs w:val="24"/>
        </w:rPr>
        <w:t>.</w:t>
      </w:r>
      <w:r w:rsidR="0055579E">
        <w:rPr>
          <w:rFonts w:cs="Times New Roman"/>
          <w:szCs w:val="24"/>
        </w:rPr>
        <w:t xml:space="preserve"> </w:t>
      </w:r>
    </w:p>
    <w:p w14:paraId="200EA6FF" w14:textId="77777777" w:rsidR="00234F13" w:rsidRDefault="00234F13" w:rsidP="00BD11FF">
      <w:pPr>
        <w:spacing w:line="360" w:lineRule="auto"/>
        <w:ind w:firstLine="708"/>
        <w:jc w:val="both"/>
        <w:rPr>
          <w:rFonts w:cs="Times New Roman"/>
          <w:b/>
          <w:bCs/>
          <w:szCs w:val="24"/>
          <w:lang w:val="en-US"/>
        </w:rPr>
      </w:pPr>
    </w:p>
    <w:p w14:paraId="7D1E4F5C" w14:textId="188C3629" w:rsidR="00C246EC" w:rsidRPr="00A209E8" w:rsidRDefault="00C246EC" w:rsidP="00BD11FF">
      <w:pPr>
        <w:spacing w:line="360" w:lineRule="auto"/>
        <w:ind w:firstLine="708"/>
        <w:jc w:val="both"/>
        <w:rPr>
          <w:rFonts w:cs="Times New Roman"/>
          <w:b/>
          <w:bCs/>
          <w:szCs w:val="24"/>
          <w:lang w:val="en-US"/>
        </w:rPr>
      </w:pPr>
      <w:r w:rsidRPr="00A209E8">
        <w:rPr>
          <w:rFonts w:cs="Times New Roman"/>
          <w:b/>
          <w:bCs/>
          <w:szCs w:val="24"/>
          <w:lang w:val="en-US"/>
        </w:rPr>
        <w:t>INTRODUCTION</w:t>
      </w:r>
    </w:p>
    <w:p w14:paraId="0ED76EFE" w14:textId="78A4ECE6"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The vaccination is one of the most successful interventions in the history of medicine and is responsible for drastic decrease in the morbidity and mortality associated with many infectious diseases</w:t>
      </w:r>
      <w:r>
        <w:rPr>
          <w:rFonts w:cs="Times New Roman"/>
          <w:szCs w:val="24"/>
          <w:lang w:val="en-US"/>
        </w:rPr>
        <w:t>.</w:t>
      </w:r>
      <w:r w:rsidRPr="00C246EC">
        <w:rPr>
          <w:rFonts w:cs="Times New Roman"/>
          <w:noProof/>
          <w:szCs w:val="24"/>
          <w:vertAlign w:val="superscript"/>
          <w:lang w:val="en-US"/>
        </w:rPr>
        <w:t>1-3</w:t>
      </w:r>
      <w:r w:rsidRPr="00C246EC">
        <w:rPr>
          <w:rFonts w:cs="Times New Roman"/>
          <w:szCs w:val="24"/>
          <w:vertAlign w:val="superscript"/>
          <w:lang w:val="en-US"/>
        </w:rPr>
        <w:t>.</w:t>
      </w:r>
      <w:r w:rsidRPr="00A209E8">
        <w:rPr>
          <w:rFonts w:cs="Times New Roman"/>
          <w:szCs w:val="24"/>
          <w:lang w:val="en-US"/>
        </w:rPr>
        <w:t xml:space="preserve"> In 2010, with the aim that all individuals and communities enjoy lives free from vaccine-preventable diseases was launched the Decade of Vaccines Collaboration that was led by the World Health Organization (WHO), United Nations Children’s Fund (UNICEF), Gavi The Vaccine Alliance, the US National Institute of Allergy and Infectious Diseases (NIAID), and the Bill &amp; Melinda Gates Foundation (BMGF)</w:t>
      </w:r>
      <w:r>
        <w:rPr>
          <w:rFonts w:cs="Times New Roman"/>
          <w:szCs w:val="24"/>
          <w:lang w:val="en-US"/>
        </w:rPr>
        <w:t>.</w:t>
      </w:r>
      <w:r w:rsidRPr="00C246EC">
        <w:rPr>
          <w:rFonts w:cs="Times New Roman"/>
          <w:noProof/>
          <w:szCs w:val="24"/>
          <w:vertAlign w:val="superscript"/>
          <w:lang w:val="en-US"/>
        </w:rPr>
        <w:t>4</w:t>
      </w:r>
      <w:r w:rsidRPr="00A209E8">
        <w:rPr>
          <w:rFonts w:cs="Times New Roman"/>
          <w:szCs w:val="24"/>
          <w:lang w:val="en-US"/>
        </w:rPr>
        <w:t xml:space="preserve"> Despite all efforts made until 2019, during the COVID-19 pandemic, the recommendation to remain in isolation and avoid crowding, as well as the fear of contagion by visiting health centers contributed to reducing vaccination coverage in the world</w:t>
      </w:r>
      <w:r>
        <w:rPr>
          <w:rFonts w:cs="Times New Roman"/>
          <w:szCs w:val="24"/>
          <w:lang w:val="en-US"/>
        </w:rPr>
        <w:t>.</w:t>
      </w:r>
      <w:r>
        <w:rPr>
          <w:rFonts w:cs="Times New Roman"/>
          <w:noProof/>
          <w:szCs w:val="24"/>
          <w:lang w:val="en-US"/>
        </w:rPr>
        <w:t xml:space="preserve"> </w:t>
      </w:r>
      <w:r w:rsidRPr="00C246EC">
        <w:rPr>
          <w:rFonts w:cs="Times New Roman"/>
          <w:noProof/>
          <w:szCs w:val="24"/>
          <w:vertAlign w:val="superscript"/>
          <w:lang w:val="en-US"/>
        </w:rPr>
        <w:t>2, 5</w:t>
      </w:r>
      <w:r w:rsidRPr="00A209E8">
        <w:rPr>
          <w:rFonts w:cs="Times New Roman"/>
          <w:szCs w:val="24"/>
          <w:lang w:val="en-US"/>
        </w:rPr>
        <w:t xml:space="preserve"> </w:t>
      </w:r>
    </w:p>
    <w:p w14:paraId="79C9AF68" w14:textId="56857391"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 xml:space="preserve">Brazil’s National Immunization Program (NIP) was created in 1973, aiming to provide universal access to several vaccines in order to control the escalation of infectious diseases and reduce childhood mortality rates. Additionally, the </w:t>
      </w:r>
      <w:r w:rsidR="00DA40DD" w:rsidRPr="00A209E8">
        <w:rPr>
          <w:rFonts w:cs="Times New Roman"/>
          <w:szCs w:val="24"/>
          <w:lang w:val="en-US"/>
        </w:rPr>
        <w:t>NIP providing</w:t>
      </w:r>
      <w:r w:rsidRPr="00A209E8">
        <w:rPr>
          <w:rFonts w:cs="Times New Roman"/>
          <w:szCs w:val="24"/>
          <w:lang w:val="en-US"/>
        </w:rPr>
        <w:t xml:space="preserve"> vaccines free of charge to the whole population through the public health system</w:t>
      </w:r>
      <w:r>
        <w:rPr>
          <w:rFonts w:cs="Times New Roman"/>
          <w:szCs w:val="24"/>
          <w:lang w:val="en-US"/>
        </w:rPr>
        <w:t>.</w:t>
      </w:r>
      <w:r w:rsidR="00DA40DD" w:rsidRPr="00C246EC">
        <w:rPr>
          <w:rFonts w:cs="Times New Roman"/>
          <w:noProof/>
          <w:szCs w:val="24"/>
          <w:vertAlign w:val="superscript"/>
          <w:lang w:val="en-US"/>
        </w:rPr>
        <w:t>2</w:t>
      </w:r>
      <w:r w:rsidR="00DA40DD">
        <w:rPr>
          <w:rFonts w:cs="Times New Roman"/>
          <w:noProof/>
          <w:szCs w:val="24"/>
          <w:vertAlign w:val="superscript"/>
          <w:lang w:val="en-US"/>
        </w:rPr>
        <w:t xml:space="preserve"> </w:t>
      </w:r>
      <w:r w:rsidR="00DA40DD" w:rsidRPr="00A209E8">
        <w:rPr>
          <w:rFonts w:cs="Times New Roman"/>
          <w:szCs w:val="24"/>
          <w:lang w:val="en-US"/>
        </w:rPr>
        <w:t>Many</w:t>
      </w:r>
      <w:r w:rsidRPr="00A209E8">
        <w:rPr>
          <w:rFonts w:cs="Times New Roman"/>
          <w:szCs w:val="24"/>
          <w:lang w:val="en-US"/>
        </w:rPr>
        <w:t xml:space="preserve"> countries have recorded a substantial drop in the routine vaccination schedules in children due to the ongoing COVID-19 pandemic, especially children under 2 years of age</w:t>
      </w:r>
      <w:r w:rsidR="00DA40DD">
        <w:rPr>
          <w:rFonts w:cs="Times New Roman"/>
          <w:szCs w:val="24"/>
          <w:lang w:val="en-US"/>
        </w:rPr>
        <w:t>.</w:t>
      </w:r>
      <w:r w:rsidRPr="00DA40DD">
        <w:rPr>
          <w:rFonts w:cs="Times New Roman"/>
          <w:noProof/>
          <w:szCs w:val="24"/>
          <w:vertAlign w:val="superscript"/>
          <w:lang w:val="en-US"/>
        </w:rPr>
        <w:t>2, 6, 7</w:t>
      </w:r>
      <w:r w:rsidRPr="00A209E8">
        <w:rPr>
          <w:rFonts w:cs="Times New Roman"/>
          <w:szCs w:val="24"/>
          <w:lang w:val="en-US"/>
        </w:rPr>
        <w:t xml:space="preserve"> </w:t>
      </w:r>
    </w:p>
    <w:p w14:paraId="495B1E45" w14:textId="0CA34DBF"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Brazil has a large and diverse population of indigenous people, comprising approximately 896,917 individuals divided into 305 ethnicities that live in both urban and rural areas. Indigenous populations have to deal with many social inequalities resulting from socio-economic marginalization, including poor nutrition, lack of access to health services and proper sanitation</w:t>
      </w:r>
      <w:r w:rsidR="007B6038">
        <w:rPr>
          <w:rFonts w:cs="Times New Roman"/>
          <w:szCs w:val="24"/>
          <w:lang w:val="en-US"/>
        </w:rPr>
        <w:t>.</w:t>
      </w:r>
      <w:r w:rsidR="007B6038">
        <w:rPr>
          <w:rFonts w:cs="Times New Roman"/>
          <w:noProof/>
          <w:szCs w:val="24"/>
          <w:vertAlign w:val="superscript"/>
          <w:lang w:val="en-US"/>
        </w:rPr>
        <w:t>8</w:t>
      </w:r>
      <w:r w:rsidRPr="00A209E8">
        <w:rPr>
          <w:rFonts w:cs="Times New Roman"/>
          <w:szCs w:val="24"/>
          <w:lang w:val="en-US"/>
        </w:rPr>
        <w:t xml:space="preserve">   All these findings highlight the importance of immunization in indigenous populations. The aim of our study is to assess the early impact of COVID-19 on vaccine coverage rate to </w:t>
      </w:r>
      <w:bookmarkStart w:id="0" w:name="_Hlk109845338"/>
      <w:r w:rsidRPr="00A209E8">
        <w:rPr>
          <w:rFonts w:cs="Times New Roman"/>
          <w:szCs w:val="24"/>
          <w:lang w:val="en-US"/>
        </w:rPr>
        <w:t xml:space="preserve">Meningococcal C Conjugate (MCC), Bacillus Calmette-Guérin (BCG), Yellow Fever (YF), and 10-valent Pneumococcal Conjugate Vaccine (PCV10) </w:t>
      </w:r>
      <w:bookmarkEnd w:id="0"/>
      <w:r w:rsidRPr="00A209E8">
        <w:rPr>
          <w:rFonts w:cs="Times New Roman"/>
          <w:szCs w:val="24"/>
          <w:lang w:val="en-US"/>
        </w:rPr>
        <w:t xml:space="preserve">in the ten localities with the more indigenous populations in Brazil. </w:t>
      </w:r>
    </w:p>
    <w:p w14:paraId="47A50FB6" w14:textId="77777777" w:rsidR="00C246EC" w:rsidRPr="00A209E8" w:rsidRDefault="00C246EC" w:rsidP="00BD11FF">
      <w:pPr>
        <w:spacing w:line="360" w:lineRule="auto"/>
        <w:ind w:firstLine="708"/>
        <w:jc w:val="both"/>
        <w:rPr>
          <w:rFonts w:cs="Times New Roman"/>
          <w:b/>
          <w:bCs/>
          <w:szCs w:val="24"/>
          <w:lang w:val="en-US"/>
        </w:rPr>
      </w:pPr>
      <w:r w:rsidRPr="00A209E8">
        <w:rPr>
          <w:rFonts w:cs="Times New Roman"/>
          <w:b/>
          <w:bCs/>
          <w:szCs w:val="24"/>
          <w:lang w:val="en-US"/>
        </w:rPr>
        <w:t>METHODS</w:t>
      </w:r>
    </w:p>
    <w:p w14:paraId="2258A05F" w14:textId="49AAAE7E"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 xml:space="preserve">A time-series analysis study was conducted among the indigenous populations, through retrospective analysis of immunization reported by the Department of Informatics of the </w:t>
      </w:r>
      <w:r w:rsidRPr="00A209E8">
        <w:rPr>
          <w:rFonts w:cs="Times New Roman"/>
          <w:szCs w:val="24"/>
          <w:lang w:val="en-US"/>
        </w:rPr>
        <w:lastRenderedPageBreak/>
        <w:t>Brazilian Ministry of Health. Data collected through this system include all vaccination schedules and dosage details.  These data were accumulated by diverse health professionals. The early impact of the COVID-19 pandemic on the vaccine coverage rate was estimated by comparing the data obtained between the pre-pandemic (</w:t>
      </w:r>
      <w:r>
        <w:rPr>
          <w:rFonts w:cs="Times New Roman"/>
          <w:szCs w:val="24"/>
          <w:lang w:val="en-US"/>
        </w:rPr>
        <w:t xml:space="preserve">2018 and </w:t>
      </w:r>
      <w:r w:rsidRPr="00A209E8">
        <w:rPr>
          <w:rFonts w:cs="Times New Roman"/>
          <w:szCs w:val="24"/>
          <w:lang w:val="en-US"/>
        </w:rPr>
        <w:t>2019)</w:t>
      </w:r>
      <w:r>
        <w:rPr>
          <w:rFonts w:cs="Times New Roman"/>
          <w:szCs w:val="24"/>
          <w:lang w:val="en-US"/>
        </w:rPr>
        <w:t xml:space="preserve">, </w:t>
      </w:r>
      <w:r w:rsidRPr="00A209E8">
        <w:rPr>
          <w:rFonts w:cs="Times New Roman"/>
          <w:szCs w:val="24"/>
          <w:lang w:val="en-US"/>
        </w:rPr>
        <w:t>the pandemic (2020 and 2021)</w:t>
      </w:r>
      <w:r>
        <w:rPr>
          <w:rFonts w:cs="Times New Roman"/>
          <w:szCs w:val="24"/>
          <w:lang w:val="en-US"/>
        </w:rPr>
        <w:t xml:space="preserve"> and post-pandemic (2022)</w:t>
      </w:r>
      <w:r w:rsidRPr="00A209E8">
        <w:rPr>
          <w:rFonts w:cs="Times New Roman"/>
          <w:szCs w:val="24"/>
          <w:lang w:val="en-US"/>
        </w:rPr>
        <w:t xml:space="preserve"> periods. Furthermore, previous vaccine coverage (2018) was also retrieved with the aim to provide more consistent data.  We estimate the coverage vaccine rate for the following vaccines: MCC, BCG, YF, and PCV10. The vaccine coverage rate was calculated by dividing the number of people that completed the vaccination plan by the target population, multiplied by 100</w:t>
      </w:r>
      <w:r w:rsidR="00A1072F">
        <w:rPr>
          <w:rFonts w:cs="Times New Roman"/>
          <w:szCs w:val="24"/>
          <w:lang w:val="en-US"/>
        </w:rPr>
        <w:t>.</w:t>
      </w:r>
      <w:r w:rsidRPr="00A209E8">
        <w:rPr>
          <w:rFonts w:cs="Times New Roman"/>
          <w:szCs w:val="24"/>
          <w:lang w:val="en-US"/>
        </w:rPr>
        <w:t xml:space="preserve"> </w:t>
      </w:r>
      <w:r w:rsidRPr="00A1072F">
        <w:rPr>
          <w:rFonts w:cs="Times New Roman"/>
          <w:noProof/>
          <w:szCs w:val="24"/>
          <w:vertAlign w:val="superscript"/>
          <w:lang w:val="en-US"/>
        </w:rPr>
        <w:t>2, 9</w:t>
      </w:r>
      <w:r w:rsidRPr="00A209E8">
        <w:rPr>
          <w:rFonts w:cs="Times New Roman"/>
          <w:szCs w:val="24"/>
          <w:lang w:val="en-US"/>
        </w:rPr>
        <w:t xml:space="preserve"> The localities with the higher number of indigenous populations were identified according to the Brazilian Institute of Geography and Statistics (IBGE) database. </w:t>
      </w:r>
    </w:p>
    <w:p w14:paraId="3D0D1B87" w14:textId="77777777" w:rsidR="00C246EC" w:rsidRPr="00A209E8" w:rsidRDefault="00C246EC" w:rsidP="00BD11FF">
      <w:pPr>
        <w:spacing w:line="360" w:lineRule="auto"/>
        <w:ind w:firstLine="708"/>
        <w:jc w:val="both"/>
        <w:rPr>
          <w:rFonts w:cs="Times New Roman"/>
          <w:b/>
          <w:bCs/>
          <w:szCs w:val="24"/>
          <w:lang w:val="en-US"/>
        </w:rPr>
      </w:pPr>
      <w:r w:rsidRPr="00A209E8">
        <w:rPr>
          <w:rFonts w:cs="Times New Roman"/>
          <w:b/>
          <w:bCs/>
          <w:szCs w:val="24"/>
          <w:lang w:val="en-US"/>
        </w:rPr>
        <w:t>RESULTS</w:t>
      </w:r>
    </w:p>
    <w:p w14:paraId="3AE5DAAB" w14:textId="77777777" w:rsidR="00C246EC" w:rsidRDefault="00C246EC" w:rsidP="00BD11FF">
      <w:pPr>
        <w:spacing w:line="360" w:lineRule="auto"/>
        <w:ind w:firstLine="708"/>
        <w:jc w:val="both"/>
        <w:rPr>
          <w:rFonts w:cs="Times New Roman"/>
          <w:szCs w:val="24"/>
          <w:lang w:val="en-US"/>
        </w:rPr>
      </w:pPr>
      <w:r w:rsidRPr="00A209E8">
        <w:rPr>
          <w:rFonts w:cs="Times New Roman"/>
          <w:szCs w:val="24"/>
          <w:lang w:val="en-US"/>
        </w:rPr>
        <w:t>The aim of this study was to evaluate the early impact of COVID-19 on immunization coverage among indigenous populations in Brazil. The vaccine coverage for MCC, PCV10, BCG and YF are shown in Table 1.  We compared the coverage vaccine rate during pre-pandemic (2019) and the early pandemic period (202</w:t>
      </w:r>
      <w:r>
        <w:rPr>
          <w:rFonts w:cs="Times New Roman"/>
          <w:szCs w:val="24"/>
          <w:lang w:val="en-US"/>
        </w:rPr>
        <w:t>2</w:t>
      </w:r>
      <w:r w:rsidRPr="00A209E8">
        <w:rPr>
          <w:rFonts w:cs="Times New Roman"/>
          <w:szCs w:val="24"/>
          <w:lang w:val="en-US"/>
        </w:rPr>
        <w:t xml:space="preserve">) when the vaccines which prevent to COVID-19 were available and campaigns to promote vaccination were adopted. In overall, during this period there was a reduced in approximately 40%, 24%, 36% and 50% in the coverage vaccine rate the MCC, BCG, YF and PCV10, respectively. </w:t>
      </w:r>
    </w:p>
    <w:p w14:paraId="0C3EDA02" w14:textId="630A4784" w:rsidR="007B6038" w:rsidRPr="002644AE" w:rsidRDefault="00C246EC" w:rsidP="00BD11FF">
      <w:pPr>
        <w:spacing w:line="360" w:lineRule="auto"/>
        <w:ind w:firstLine="708"/>
        <w:jc w:val="both"/>
        <w:rPr>
          <w:rFonts w:cs="Times New Roman"/>
          <w:sz w:val="20"/>
          <w:szCs w:val="20"/>
          <w:lang w:val="en-US"/>
        </w:rPr>
      </w:pPr>
      <w:r w:rsidRPr="002644AE">
        <w:rPr>
          <w:rFonts w:cs="Times New Roman"/>
          <w:sz w:val="20"/>
          <w:szCs w:val="20"/>
          <w:lang w:val="en-US"/>
        </w:rPr>
        <w:t xml:space="preserve">Table 1. Vaccination coverage rate in localities with the higher number of the indigenous populations in Brazil from 2018. </w:t>
      </w:r>
    </w:p>
    <w:tbl>
      <w:tblPr>
        <w:tblStyle w:val="Tabelacomgrade"/>
        <w:tblW w:w="114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3523"/>
        <w:gridCol w:w="1134"/>
        <w:gridCol w:w="992"/>
        <w:gridCol w:w="1071"/>
        <w:gridCol w:w="992"/>
        <w:gridCol w:w="851"/>
        <w:gridCol w:w="425"/>
      </w:tblGrid>
      <w:tr w:rsidR="00C246EC" w:rsidRPr="0019640C" w14:paraId="0EDF9652" w14:textId="77777777" w:rsidTr="00CB68FA">
        <w:trPr>
          <w:jc w:val="center"/>
        </w:trPr>
        <w:tc>
          <w:tcPr>
            <w:tcW w:w="2494" w:type="dxa"/>
            <w:vMerge w:val="restart"/>
            <w:tcBorders>
              <w:top w:val="single" w:sz="12" w:space="0" w:color="auto"/>
            </w:tcBorders>
          </w:tcPr>
          <w:p w14:paraId="415B72C5" w14:textId="77777777" w:rsidR="00C246EC" w:rsidRPr="002644AE" w:rsidRDefault="00C246EC" w:rsidP="00443611">
            <w:pPr>
              <w:spacing w:line="360" w:lineRule="auto"/>
              <w:rPr>
                <w:rFonts w:cs="Times New Roman"/>
                <w:sz w:val="20"/>
                <w:szCs w:val="20"/>
              </w:rPr>
            </w:pPr>
            <w:proofErr w:type="spellStart"/>
            <w:r w:rsidRPr="002644AE">
              <w:rPr>
                <w:rFonts w:cs="Times New Roman"/>
                <w:sz w:val="20"/>
                <w:szCs w:val="20"/>
              </w:rPr>
              <w:t>Vaccine</w:t>
            </w:r>
            <w:proofErr w:type="spellEnd"/>
          </w:p>
        </w:tc>
        <w:tc>
          <w:tcPr>
            <w:tcW w:w="3523" w:type="dxa"/>
            <w:vMerge w:val="restart"/>
            <w:tcBorders>
              <w:top w:val="single" w:sz="12" w:space="0" w:color="auto"/>
            </w:tcBorders>
          </w:tcPr>
          <w:p w14:paraId="6C4EB612" w14:textId="77777777" w:rsidR="00C246EC" w:rsidRPr="002644AE" w:rsidRDefault="00C246EC" w:rsidP="00443611">
            <w:pPr>
              <w:spacing w:line="360" w:lineRule="auto"/>
              <w:rPr>
                <w:rFonts w:cs="Times New Roman"/>
                <w:sz w:val="20"/>
                <w:szCs w:val="20"/>
              </w:rPr>
            </w:pPr>
            <w:proofErr w:type="spellStart"/>
            <w:r w:rsidRPr="002644AE">
              <w:rPr>
                <w:rFonts w:cs="Times New Roman"/>
                <w:sz w:val="20"/>
                <w:szCs w:val="20"/>
              </w:rPr>
              <w:t>Locality</w:t>
            </w:r>
            <w:proofErr w:type="spellEnd"/>
          </w:p>
        </w:tc>
        <w:tc>
          <w:tcPr>
            <w:tcW w:w="4189" w:type="dxa"/>
            <w:gridSpan w:val="4"/>
            <w:tcBorders>
              <w:top w:val="single" w:sz="12" w:space="0" w:color="auto"/>
            </w:tcBorders>
          </w:tcPr>
          <w:p w14:paraId="22ABCDD2" w14:textId="77777777" w:rsidR="00C246EC" w:rsidRPr="002644AE" w:rsidRDefault="00C246EC" w:rsidP="00CB68FA">
            <w:pPr>
              <w:spacing w:line="360" w:lineRule="auto"/>
              <w:rPr>
                <w:rFonts w:cs="Times New Roman"/>
                <w:sz w:val="20"/>
                <w:szCs w:val="20"/>
                <w:lang w:val="en-US"/>
              </w:rPr>
            </w:pPr>
            <w:r w:rsidRPr="002644AE">
              <w:rPr>
                <w:rFonts w:cs="Times New Roman"/>
                <w:sz w:val="20"/>
                <w:szCs w:val="20"/>
                <w:lang w:val="en-US"/>
              </w:rPr>
              <w:t>Vaccination coverage rates (%) by year</w:t>
            </w:r>
          </w:p>
        </w:tc>
        <w:tc>
          <w:tcPr>
            <w:tcW w:w="1276" w:type="dxa"/>
            <w:gridSpan w:val="2"/>
            <w:tcBorders>
              <w:top w:val="single" w:sz="12" w:space="0" w:color="auto"/>
            </w:tcBorders>
          </w:tcPr>
          <w:p w14:paraId="3403BFBD" w14:textId="77777777" w:rsidR="00C246EC" w:rsidRPr="002644AE" w:rsidRDefault="00C246EC" w:rsidP="00CB68FA">
            <w:pPr>
              <w:spacing w:line="360" w:lineRule="auto"/>
              <w:rPr>
                <w:rFonts w:cs="Times New Roman"/>
                <w:sz w:val="20"/>
                <w:szCs w:val="20"/>
                <w:lang w:val="en-US"/>
              </w:rPr>
            </w:pPr>
          </w:p>
        </w:tc>
      </w:tr>
      <w:tr w:rsidR="00C246EC" w:rsidRPr="002644AE" w14:paraId="763DB386" w14:textId="77777777" w:rsidTr="00CB68FA">
        <w:trPr>
          <w:gridAfter w:val="1"/>
          <w:wAfter w:w="425" w:type="dxa"/>
          <w:jc w:val="center"/>
        </w:trPr>
        <w:tc>
          <w:tcPr>
            <w:tcW w:w="2494" w:type="dxa"/>
            <w:vMerge/>
            <w:tcBorders>
              <w:bottom w:val="single" w:sz="12" w:space="0" w:color="auto"/>
            </w:tcBorders>
          </w:tcPr>
          <w:p w14:paraId="32968768" w14:textId="77777777" w:rsidR="00C246EC" w:rsidRPr="002644AE" w:rsidRDefault="00C246EC" w:rsidP="00CB68FA">
            <w:pPr>
              <w:spacing w:line="360" w:lineRule="auto"/>
              <w:rPr>
                <w:rFonts w:cs="Times New Roman"/>
                <w:sz w:val="20"/>
                <w:szCs w:val="20"/>
                <w:lang w:val="en-US"/>
              </w:rPr>
            </w:pPr>
          </w:p>
        </w:tc>
        <w:tc>
          <w:tcPr>
            <w:tcW w:w="3523" w:type="dxa"/>
            <w:vMerge/>
            <w:tcBorders>
              <w:bottom w:val="single" w:sz="12" w:space="0" w:color="auto"/>
            </w:tcBorders>
          </w:tcPr>
          <w:p w14:paraId="53D55C6C" w14:textId="77777777" w:rsidR="00C246EC" w:rsidRPr="002644AE" w:rsidRDefault="00C246EC" w:rsidP="00CB68FA">
            <w:pPr>
              <w:spacing w:line="360" w:lineRule="auto"/>
              <w:rPr>
                <w:rFonts w:cs="Times New Roman"/>
                <w:sz w:val="20"/>
                <w:szCs w:val="20"/>
                <w:lang w:val="en-US"/>
              </w:rPr>
            </w:pPr>
          </w:p>
        </w:tc>
        <w:tc>
          <w:tcPr>
            <w:tcW w:w="1134" w:type="dxa"/>
            <w:tcBorders>
              <w:top w:val="single" w:sz="4" w:space="0" w:color="auto"/>
              <w:bottom w:val="single" w:sz="12" w:space="0" w:color="auto"/>
            </w:tcBorders>
          </w:tcPr>
          <w:p w14:paraId="3B478B8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2018</w:t>
            </w:r>
          </w:p>
        </w:tc>
        <w:tc>
          <w:tcPr>
            <w:tcW w:w="992" w:type="dxa"/>
            <w:tcBorders>
              <w:top w:val="single" w:sz="4" w:space="0" w:color="auto"/>
              <w:bottom w:val="single" w:sz="12" w:space="0" w:color="auto"/>
            </w:tcBorders>
          </w:tcPr>
          <w:p w14:paraId="42C184C7"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2019</w:t>
            </w:r>
          </w:p>
        </w:tc>
        <w:tc>
          <w:tcPr>
            <w:tcW w:w="1071" w:type="dxa"/>
            <w:tcBorders>
              <w:top w:val="single" w:sz="4" w:space="0" w:color="auto"/>
              <w:bottom w:val="single" w:sz="12" w:space="0" w:color="auto"/>
            </w:tcBorders>
          </w:tcPr>
          <w:p w14:paraId="150F96F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2020</w:t>
            </w:r>
          </w:p>
        </w:tc>
        <w:tc>
          <w:tcPr>
            <w:tcW w:w="992" w:type="dxa"/>
            <w:tcBorders>
              <w:top w:val="single" w:sz="4" w:space="0" w:color="auto"/>
              <w:bottom w:val="single" w:sz="12" w:space="0" w:color="auto"/>
            </w:tcBorders>
          </w:tcPr>
          <w:p w14:paraId="122059C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2021</w:t>
            </w:r>
          </w:p>
        </w:tc>
        <w:tc>
          <w:tcPr>
            <w:tcW w:w="851" w:type="dxa"/>
            <w:tcBorders>
              <w:top w:val="single" w:sz="4" w:space="0" w:color="auto"/>
              <w:bottom w:val="single" w:sz="12" w:space="0" w:color="auto"/>
            </w:tcBorders>
          </w:tcPr>
          <w:p w14:paraId="7E21EAE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2022</w:t>
            </w:r>
          </w:p>
        </w:tc>
      </w:tr>
      <w:tr w:rsidR="00C246EC" w:rsidRPr="002644AE" w14:paraId="49FD422F" w14:textId="77777777" w:rsidTr="00CB68FA">
        <w:trPr>
          <w:jc w:val="center"/>
        </w:trPr>
        <w:tc>
          <w:tcPr>
            <w:tcW w:w="2494" w:type="dxa"/>
            <w:vMerge w:val="restart"/>
            <w:tcBorders>
              <w:top w:val="single" w:sz="12" w:space="0" w:color="auto"/>
            </w:tcBorders>
            <w:shd w:val="clear" w:color="auto" w:fill="FFFFFF" w:themeFill="background1"/>
          </w:tcPr>
          <w:p w14:paraId="381D1597" w14:textId="77777777" w:rsidR="00C246EC" w:rsidRPr="002644AE" w:rsidRDefault="00C246EC" w:rsidP="00443611">
            <w:pPr>
              <w:spacing w:line="360" w:lineRule="auto"/>
              <w:rPr>
                <w:rFonts w:cs="Times New Roman"/>
                <w:sz w:val="20"/>
                <w:szCs w:val="20"/>
              </w:rPr>
            </w:pPr>
          </w:p>
          <w:p w14:paraId="4ED209B6" w14:textId="77777777" w:rsidR="00C246EC" w:rsidRPr="002644AE" w:rsidRDefault="00C246EC" w:rsidP="00443611">
            <w:pPr>
              <w:spacing w:line="360" w:lineRule="auto"/>
              <w:rPr>
                <w:rFonts w:cs="Times New Roman"/>
                <w:sz w:val="20"/>
                <w:szCs w:val="20"/>
              </w:rPr>
            </w:pPr>
          </w:p>
          <w:p w14:paraId="6ACB6C5F" w14:textId="77777777" w:rsidR="00C246EC" w:rsidRPr="002644AE" w:rsidRDefault="00C246EC" w:rsidP="00443611">
            <w:pPr>
              <w:spacing w:line="360" w:lineRule="auto"/>
              <w:rPr>
                <w:rFonts w:cs="Times New Roman"/>
                <w:sz w:val="20"/>
                <w:szCs w:val="20"/>
              </w:rPr>
            </w:pPr>
          </w:p>
          <w:p w14:paraId="19096FE0" w14:textId="77777777" w:rsidR="00C246EC" w:rsidRPr="002644AE" w:rsidRDefault="00C246EC" w:rsidP="00443611">
            <w:pPr>
              <w:spacing w:line="360" w:lineRule="auto"/>
              <w:rPr>
                <w:rFonts w:cs="Times New Roman"/>
                <w:sz w:val="20"/>
                <w:szCs w:val="20"/>
              </w:rPr>
            </w:pPr>
          </w:p>
          <w:p w14:paraId="1A15A57E" w14:textId="77777777" w:rsidR="00C246EC" w:rsidRPr="002644AE" w:rsidRDefault="00C246EC" w:rsidP="00443611">
            <w:pPr>
              <w:spacing w:line="360" w:lineRule="auto"/>
              <w:rPr>
                <w:rFonts w:cs="Times New Roman"/>
                <w:sz w:val="20"/>
                <w:szCs w:val="20"/>
              </w:rPr>
            </w:pPr>
            <w:r w:rsidRPr="002644AE">
              <w:rPr>
                <w:rFonts w:cs="Times New Roman"/>
                <w:sz w:val="20"/>
                <w:szCs w:val="20"/>
              </w:rPr>
              <w:t>MCC</w:t>
            </w:r>
          </w:p>
        </w:tc>
        <w:tc>
          <w:tcPr>
            <w:tcW w:w="3523" w:type="dxa"/>
            <w:tcBorders>
              <w:top w:val="single" w:sz="12" w:space="0" w:color="auto"/>
            </w:tcBorders>
            <w:shd w:val="clear" w:color="auto" w:fill="FFFFFF" w:themeFill="background1"/>
          </w:tcPr>
          <w:p w14:paraId="4B7A8054" w14:textId="77777777" w:rsidR="00C246EC" w:rsidRPr="002644AE" w:rsidRDefault="00C246EC" w:rsidP="00CB68FA">
            <w:pPr>
              <w:spacing w:line="360" w:lineRule="auto"/>
              <w:rPr>
                <w:rFonts w:cs="Times New Roman"/>
                <w:sz w:val="20"/>
                <w:szCs w:val="20"/>
              </w:rPr>
            </w:pPr>
            <w:r w:rsidRPr="002644AE">
              <w:rPr>
                <w:rFonts w:cs="Times New Roman"/>
                <w:sz w:val="20"/>
                <w:szCs w:val="20"/>
              </w:rPr>
              <w:t>São Gabriel da Cachoeira</w:t>
            </w:r>
          </w:p>
        </w:tc>
        <w:tc>
          <w:tcPr>
            <w:tcW w:w="1134" w:type="dxa"/>
            <w:tcBorders>
              <w:top w:val="single" w:sz="12" w:space="0" w:color="auto"/>
            </w:tcBorders>
            <w:shd w:val="clear" w:color="auto" w:fill="FFFFFF" w:themeFill="background1"/>
          </w:tcPr>
          <w:p w14:paraId="359A012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73.4</w:t>
            </w:r>
          </w:p>
        </w:tc>
        <w:tc>
          <w:tcPr>
            <w:tcW w:w="992" w:type="dxa"/>
            <w:tcBorders>
              <w:top w:val="single" w:sz="12" w:space="0" w:color="auto"/>
            </w:tcBorders>
            <w:shd w:val="clear" w:color="auto" w:fill="FFFFFF" w:themeFill="background1"/>
          </w:tcPr>
          <w:p w14:paraId="702A87C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132.3</w:t>
            </w:r>
          </w:p>
        </w:tc>
        <w:tc>
          <w:tcPr>
            <w:tcW w:w="1071" w:type="dxa"/>
            <w:tcBorders>
              <w:top w:val="single" w:sz="12" w:space="0" w:color="auto"/>
            </w:tcBorders>
            <w:shd w:val="clear" w:color="auto" w:fill="FFFFFF" w:themeFill="background1"/>
          </w:tcPr>
          <w:p w14:paraId="2AA71AD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50.3</w:t>
            </w:r>
          </w:p>
        </w:tc>
        <w:tc>
          <w:tcPr>
            <w:tcW w:w="992" w:type="dxa"/>
            <w:tcBorders>
              <w:top w:val="single" w:sz="12" w:space="0" w:color="auto"/>
            </w:tcBorders>
            <w:shd w:val="clear" w:color="auto" w:fill="FFFFFF" w:themeFill="background1"/>
          </w:tcPr>
          <w:p w14:paraId="67BD32D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32.7</w:t>
            </w:r>
          </w:p>
        </w:tc>
        <w:tc>
          <w:tcPr>
            <w:tcW w:w="1276" w:type="dxa"/>
            <w:gridSpan w:val="2"/>
            <w:tcBorders>
              <w:top w:val="single" w:sz="12" w:space="0" w:color="auto"/>
            </w:tcBorders>
            <w:shd w:val="clear" w:color="auto" w:fill="FFFFFF" w:themeFill="background1"/>
          </w:tcPr>
          <w:p w14:paraId="60557884"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42.7</w:t>
            </w:r>
          </w:p>
        </w:tc>
      </w:tr>
      <w:tr w:rsidR="00C246EC" w:rsidRPr="002644AE" w14:paraId="50D3C23B" w14:textId="77777777" w:rsidTr="00CB68FA">
        <w:trPr>
          <w:jc w:val="center"/>
        </w:trPr>
        <w:tc>
          <w:tcPr>
            <w:tcW w:w="2494" w:type="dxa"/>
            <w:vMerge/>
            <w:shd w:val="clear" w:color="auto" w:fill="FFFFFF" w:themeFill="background1"/>
          </w:tcPr>
          <w:p w14:paraId="13E0E3F0"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35952004"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 de Olivença</w:t>
            </w:r>
          </w:p>
        </w:tc>
        <w:tc>
          <w:tcPr>
            <w:tcW w:w="1134" w:type="dxa"/>
            <w:shd w:val="clear" w:color="auto" w:fill="FFFFFF" w:themeFill="background1"/>
          </w:tcPr>
          <w:p w14:paraId="34FA0B47"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102.3</w:t>
            </w:r>
          </w:p>
        </w:tc>
        <w:tc>
          <w:tcPr>
            <w:tcW w:w="992" w:type="dxa"/>
            <w:shd w:val="clear" w:color="auto" w:fill="FFFFFF" w:themeFill="background1"/>
          </w:tcPr>
          <w:p w14:paraId="778F63C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94.4</w:t>
            </w:r>
          </w:p>
        </w:tc>
        <w:tc>
          <w:tcPr>
            <w:tcW w:w="1071" w:type="dxa"/>
            <w:shd w:val="clear" w:color="auto" w:fill="FFFFFF" w:themeFill="background1"/>
          </w:tcPr>
          <w:p w14:paraId="52F2CF7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33.9</w:t>
            </w:r>
          </w:p>
        </w:tc>
        <w:tc>
          <w:tcPr>
            <w:tcW w:w="992" w:type="dxa"/>
            <w:shd w:val="clear" w:color="auto" w:fill="FFFFFF" w:themeFill="background1"/>
          </w:tcPr>
          <w:p w14:paraId="480DAE8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18.1</w:t>
            </w:r>
          </w:p>
        </w:tc>
        <w:tc>
          <w:tcPr>
            <w:tcW w:w="1276" w:type="dxa"/>
            <w:gridSpan w:val="2"/>
            <w:shd w:val="clear" w:color="auto" w:fill="FFFFFF" w:themeFill="background1"/>
          </w:tcPr>
          <w:p w14:paraId="4FECF730"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27.9</w:t>
            </w:r>
          </w:p>
        </w:tc>
      </w:tr>
      <w:tr w:rsidR="00C246EC" w:rsidRPr="002644AE" w14:paraId="5BA10269" w14:textId="77777777" w:rsidTr="00443611">
        <w:trPr>
          <w:trHeight w:val="253"/>
          <w:jc w:val="center"/>
        </w:trPr>
        <w:tc>
          <w:tcPr>
            <w:tcW w:w="2494" w:type="dxa"/>
            <w:vMerge/>
            <w:shd w:val="clear" w:color="auto" w:fill="FFFFFF" w:themeFill="background1"/>
          </w:tcPr>
          <w:p w14:paraId="66CF2A72"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349C4F86" w14:textId="77777777" w:rsidR="00C246EC" w:rsidRPr="002644AE" w:rsidRDefault="00C246EC" w:rsidP="00CB68FA">
            <w:pPr>
              <w:spacing w:line="360" w:lineRule="auto"/>
              <w:rPr>
                <w:rFonts w:cs="Times New Roman"/>
                <w:sz w:val="20"/>
                <w:szCs w:val="20"/>
              </w:rPr>
            </w:pPr>
            <w:r w:rsidRPr="002644AE">
              <w:rPr>
                <w:rFonts w:cs="Times New Roman"/>
                <w:sz w:val="20"/>
                <w:szCs w:val="20"/>
              </w:rPr>
              <w:t>Tabatinga</w:t>
            </w:r>
          </w:p>
        </w:tc>
        <w:tc>
          <w:tcPr>
            <w:tcW w:w="1134" w:type="dxa"/>
            <w:shd w:val="clear" w:color="auto" w:fill="FFFFFF" w:themeFill="background1"/>
          </w:tcPr>
          <w:p w14:paraId="6BA3A80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85.1</w:t>
            </w:r>
          </w:p>
        </w:tc>
        <w:tc>
          <w:tcPr>
            <w:tcW w:w="992" w:type="dxa"/>
            <w:shd w:val="clear" w:color="auto" w:fill="FFFFFF" w:themeFill="background1"/>
          </w:tcPr>
          <w:p w14:paraId="007251B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96.6</w:t>
            </w:r>
          </w:p>
        </w:tc>
        <w:tc>
          <w:tcPr>
            <w:tcW w:w="1071" w:type="dxa"/>
            <w:shd w:val="clear" w:color="auto" w:fill="FFFFFF" w:themeFill="background1"/>
          </w:tcPr>
          <w:p w14:paraId="3CB68BD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84.3</w:t>
            </w:r>
          </w:p>
        </w:tc>
        <w:tc>
          <w:tcPr>
            <w:tcW w:w="992" w:type="dxa"/>
            <w:shd w:val="clear" w:color="auto" w:fill="FFFFFF" w:themeFill="background1"/>
          </w:tcPr>
          <w:p w14:paraId="42206CB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76.3</w:t>
            </w:r>
          </w:p>
        </w:tc>
        <w:tc>
          <w:tcPr>
            <w:tcW w:w="1276" w:type="dxa"/>
            <w:gridSpan w:val="2"/>
            <w:shd w:val="clear" w:color="auto" w:fill="FFFFFF" w:themeFill="background1"/>
          </w:tcPr>
          <w:p w14:paraId="70F755BC"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65.9</w:t>
            </w:r>
          </w:p>
        </w:tc>
      </w:tr>
      <w:tr w:rsidR="00C246EC" w:rsidRPr="002644AE" w14:paraId="36159340" w14:textId="77777777" w:rsidTr="00CB68FA">
        <w:trPr>
          <w:jc w:val="center"/>
        </w:trPr>
        <w:tc>
          <w:tcPr>
            <w:tcW w:w="2494" w:type="dxa"/>
            <w:vMerge/>
            <w:shd w:val="clear" w:color="auto" w:fill="FFFFFF" w:themeFill="background1"/>
          </w:tcPr>
          <w:p w14:paraId="4AE64C63"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000D4E6E"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w:t>
            </w:r>
          </w:p>
        </w:tc>
        <w:tc>
          <w:tcPr>
            <w:tcW w:w="1134" w:type="dxa"/>
            <w:shd w:val="clear" w:color="auto" w:fill="FFFFFF" w:themeFill="background1"/>
          </w:tcPr>
          <w:p w14:paraId="19868AF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86.7</w:t>
            </w:r>
          </w:p>
        </w:tc>
        <w:tc>
          <w:tcPr>
            <w:tcW w:w="992" w:type="dxa"/>
            <w:shd w:val="clear" w:color="auto" w:fill="FFFFFF" w:themeFill="background1"/>
          </w:tcPr>
          <w:p w14:paraId="598EA1C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86.2</w:t>
            </w:r>
          </w:p>
        </w:tc>
        <w:tc>
          <w:tcPr>
            <w:tcW w:w="1071" w:type="dxa"/>
            <w:shd w:val="clear" w:color="auto" w:fill="FFFFFF" w:themeFill="background1"/>
          </w:tcPr>
          <w:p w14:paraId="4FE1AB6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76.2</w:t>
            </w:r>
          </w:p>
        </w:tc>
        <w:tc>
          <w:tcPr>
            <w:tcW w:w="992" w:type="dxa"/>
            <w:shd w:val="clear" w:color="auto" w:fill="FFFFFF" w:themeFill="background1"/>
          </w:tcPr>
          <w:p w14:paraId="1F78663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67.2</w:t>
            </w:r>
          </w:p>
        </w:tc>
        <w:tc>
          <w:tcPr>
            <w:tcW w:w="1276" w:type="dxa"/>
            <w:gridSpan w:val="2"/>
            <w:shd w:val="clear" w:color="auto" w:fill="FFFFFF" w:themeFill="background1"/>
          </w:tcPr>
          <w:p w14:paraId="68F5BB0B"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67.3</w:t>
            </w:r>
          </w:p>
        </w:tc>
      </w:tr>
      <w:tr w:rsidR="00C246EC" w:rsidRPr="002644AE" w14:paraId="02328DAA" w14:textId="77777777" w:rsidTr="00CB68FA">
        <w:trPr>
          <w:jc w:val="center"/>
        </w:trPr>
        <w:tc>
          <w:tcPr>
            <w:tcW w:w="2494" w:type="dxa"/>
            <w:vMerge/>
            <w:shd w:val="clear" w:color="auto" w:fill="FFFFFF" w:themeFill="background1"/>
          </w:tcPr>
          <w:p w14:paraId="74BEDA8F"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58D397C2" w14:textId="77777777" w:rsidR="00C246EC" w:rsidRPr="002644AE" w:rsidRDefault="00C246EC" w:rsidP="00CB68FA">
            <w:pPr>
              <w:spacing w:line="360" w:lineRule="auto"/>
              <w:rPr>
                <w:rFonts w:cs="Times New Roman"/>
                <w:sz w:val="20"/>
                <w:szCs w:val="20"/>
              </w:rPr>
            </w:pPr>
            <w:r w:rsidRPr="002644AE">
              <w:rPr>
                <w:rFonts w:cs="Times New Roman"/>
                <w:sz w:val="20"/>
                <w:szCs w:val="20"/>
              </w:rPr>
              <w:t>Santa Isabel do Rio Negro</w:t>
            </w:r>
          </w:p>
        </w:tc>
        <w:tc>
          <w:tcPr>
            <w:tcW w:w="1134" w:type="dxa"/>
            <w:shd w:val="clear" w:color="auto" w:fill="FFFFFF" w:themeFill="background1"/>
          </w:tcPr>
          <w:p w14:paraId="4871D86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109.1</w:t>
            </w:r>
          </w:p>
        </w:tc>
        <w:tc>
          <w:tcPr>
            <w:tcW w:w="992" w:type="dxa"/>
            <w:shd w:val="clear" w:color="auto" w:fill="FFFFFF" w:themeFill="background1"/>
          </w:tcPr>
          <w:p w14:paraId="5287A29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70.8</w:t>
            </w:r>
          </w:p>
        </w:tc>
        <w:tc>
          <w:tcPr>
            <w:tcW w:w="1071" w:type="dxa"/>
            <w:shd w:val="clear" w:color="auto" w:fill="FFFFFF" w:themeFill="background1"/>
          </w:tcPr>
          <w:p w14:paraId="3876278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56.8</w:t>
            </w:r>
          </w:p>
        </w:tc>
        <w:tc>
          <w:tcPr>
            <w:tcW w:w="992" w:type="dxa"/>
            <w:shd w:val="clear" w:color="auto" w:fill="FFFFFF" w:themeFill="background1"/>
          </w:tcPr>
          <w:p w14:paraId="27D7D66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67.4</w:t>
            </w:r>
          </w:p>
        </w:tc>
        <w:tc>
          <w:tcPr>
            <w:tcW w:w="1276" w:type="dxa"/>
            <w:gridSpan w:val="2"/>
            <w:shd w:val="clear" w:color="auto" w:fill="FFFFFF" w:themeFill="background1"/>
          </w:tcPr>
          <w:p w14:paraId="1E496EF6"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62.5</w:t>
            </w:r>
          </w:p>
        </w:tc>
      </w:tr>
      <w:tr w:rsidR="00C246EC" w:rsidRPr="002644AE" w14:paraId="765A9E04" w14:textId="77777777" w:rsidTr="00CB68FA">
        <w:trPr>
          <w:jc w:val="center"/>
        </w:trPr>
        <w:tc>
          <w:tcPr>
            <w:tcW w:w="2494" w:type="dxa"/>
            <w:vMerge/>
            <w:shd w:val="clear" w:color="auto" w:fill="FFFFFF" w:themeFill="background1"/>
          </w:tcPr>
          <w:p w14:paraId="6871725F"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633D8885" w14:textId="77777777" w:rsidR="00C246EC" w:rsidRPr="002644AE" w:rsidRDefault="00C246EC" w:rsidP="00CB68FA">
            <w:pPr>
              <w:spacing w:line="360" w:lineRule="auto"/>
              <w:rPr>
                <w:rFonts w:cs="Times New Roman"/>
                <w:sz w:val="20"/>
                <w:szCs w:val="20"/>
              </w:rPr>
            </w:pPr>
            <w:r w:rsidRPr="002644AE">
              <w:rPr>
                <w:rFonts w:cs="Times New Roman"/>
                <w:sz w:val="20"/>
                <w:szCs w:val="20"/>
              </w:rPr>
              <w:t>Benjamin Constant</w:t>
            </w:r>
          </w:p>
        </w:tc>
        <w:tc>
          <w:tcPr>
            <w:tcW w:w="1134" w:type="dxa"/>
            <w:shd w:val="clear" w:color="auto" w:fill="FFFFFF" w:themeFill="background1"/>
          </w:tcPr>
          <w:p w14:paraId="4AAB374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94.7</w:t>
            </w:r>
          </w:p>
        </w:tc>
        <w:tc>
          <w:tcPr>
            <w:tcW w:w="992" w:type="dxa"/>
            <w:shd w:val="clear" w:color="auto" w:fill="FFFFFF" w:themeFill="background1"/>
          </w:tcPr>
          <w:p w14:paraId="257453E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114.7</w:t>
            </w:r>
          </w:p>
        </w:tc>
        <w:tc>
          <w:tcPr>
            <w:tcW w:w="1071" w:type="dxa"/>
            <w:shd w:val="clear" w:color="auto" w:fill="FFFFFF" w:themeFill="background1"/>
          </w:tcPr>
          <w:p w14:paraId="7AC42FE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48.7</w:t>
            </w:r>
          </w:p>
        </w:tc>
        <w:tc>
          <w:tcPr>
            <w:tcW w:w="992" w:type="dxa"/>
            <w:shd w:val="clear" w:color="auto" w:fill="FFFFFF" w:themeFill="background1"/>
          </w:tcPr>
          <w:p w14:paraId="536E2FA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32.6</w:t>
            </w:r>
          </w:p>
        </w:tc>
        <w:tc>
          <w:tcPr>
            <w:tcW w:w="1276" w:type="dxa"/>
            <w:gridSpan w:val="2"/>
            <w:shd w:val="clear" w:color="auto" w:fill="FFFFFF" w:themeFill="background1"/>
          </w:tcPr>
          <w:p w14:paraId="4526A37C"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39.4</w:t>
            </w:r>
          </w:p>
        </w:tc>
      </w:tr>
      <w:tr w:rsidR="00C246EC" w:rsidRPr="002644AE" w14:paraId="02366FDA" w14:textId="77777777" w:rsidTr="00CB68FA">
        <w:trPr>
          <w:jc w:val="center"/>
        </w:trPr>
        <w:tc>
          <w:tcPr>
            <w:tcW w:w="2494" w:type="dxa"/>
            <w:vMerge/>
            <w:shd w:val="clear" w:color="auto" w:fill="FFFFFF" w:themeFill="background1"/>
          </w:tcPr>
          <w:p w14:paraId="0D6CF4B8"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27F4F4A9" w14:textId="77777777" w:rsidR="00C246EC" w:rsidRPr="002644AE" w:rsidRDefault="00C246EC" w:rsidP="00CB68FA">
            <w:pPr>
              <w:spacing w:line="360" w:lineRule="auto"/>
              <w:rPr>
                <w:rFonts w:cs="Times New Roman"/>
                <w:sz w:val="20"/>
                <w:szCs w:val="20"/>
              </w:rPr>
            </w:pPr>
            <w:r w:rsidRPr="002644AE">
              <w:rPr>
                <w:rFonts w:cs="Times New Roman"/>
                <w:sz w:val="20"/>
                <w:szCs w:val="20"/>
              </w:rPr>
              <w:t>Pesqueira</w:t>
            </w:r>
          </w:p>
        </w:tc>
        <w:tc>
          <w:tcPr>
            <w:tcW w:w="1134" w:type="dxa"/>
            <w:shd w:val="clear" w:color="auto" w:fill="FFFFFF" w:themeFill="background1"/>
          </w:tcPr>
          <w:p w14:paraId="7B5ACB9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109.2</w:t>
            </w:r>
          </w:p>
        </w:tc>
        <w:tc>
          <w:tcPr>
            <w:tcW w:w="992" w:type="dxa"/>
            <w:shd w:val="clear" w:color="auto" w:fill="FFFFFF" w:themeFill="background1"/>
          </w:tcPr>
          <w:p w14:paraId="6542262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96.1</w:t>
            </w:r>
          </w:p>
        </w:tc>
        <w:tc>
          <w:tcPr>
            <w:tcW w:w="1071" w:type="dxa"/>
            <w:shd w:val="clear" w:color="auto" w:fill="FFFFFF" w:themeFill="background1"/>
          </w:tcPr>
          <w:p w14:paraId="35BF1B4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55.3</w:t>
            </w:r>
          </w:p>
        </w:tc>
        <w:tc>
          <w:tcPr>
            <w:tcW w:w="992" w:type="dxa"/>
            <w:shd w:val="clear" w:color="auto" w:fill="FFFFFF" w:themeFill="background1"/>
          </w:tcPr>
          <w:p w14:paraId="7F85926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59.1</w:t>
            </w:r>
          </w:p>
        </w:tc>
        <w:tc>
          <w:tcPr>
            <w:tcW w:w="1276" w:type="dxa"/>
            <w:gridSpan w:val="2"/>
            <w:shd w:val="clear" w:color="auto" w:fill="FFFFFF" w:themeFill="background1"/>
          </w:tcPr>
          <w:p w14:paraId="424F95E6"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72.6</w:t>
            </w:r>
          </w:p>
        </w:tc>
      </w:tr>
      <w:tr w:rsidR="00C246EC" w:rsidRPr="002644AE" w14:paraId="516D166D" w14:textId="77777777" w:rsidTr="00CB68FA">
        <w:trPr>
          <w:jc w:val="center"/>
        </w:trPr>
        <w:tc>
          <w:tcPr>
            <w:tcW w:w="2494" w:type="dxa"/>
            <w:vMerge/>
            <w:shd w:val="clear" w:color="auto" w:fill="FFFFFF" w:themeFill="background1"/>
          </w:tcPr>
          <w:p w14:paraId="7D6DA2C2"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7209DEE4" w14:textId="77777777" w:rsidR="00C246EC" w:rsidRPr="002644AE" w:rsidRDefault="00C246EC" w:rsidP="00CB68FA">
            <w:pPr>
              <w:spacing w:line="360" w:lineRule="auto"/>
              <w:rPr>
                <w:rFonts w:cs="Times New Roman"/>
                <w:sz w:val="20"/>
                <w:szCs w:val="20"/>
              </w:rPr>
            </w:pPr>
            <w:r w:rsidRPr="002644AE">
              <w:rPr>
                <w:rFonts w:cs="Times New Roman"/>
                <w:sz w:val="20"/>
                <w:szCs w:val="20"/>
              </w:rPr>
              <w:t>Boa Vista</w:t>
            </w:r>
          </w:p>
        </w:tc>
        <w:tc>
          <w:tcPr>
            <w:tcW w:w="1134" w:type="dxa"/>
            <w:shd w:val="clear" w:color="auto" w:fill="FFFFFF" w:themeFill="background1"/>
          </w:tcPr>
          <w:p w14:paraId="7FB8CFA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77.7</w:t>
            </w:r>
          </w:p>
        </w:tc>
        <w:tc>
          <w:tcPr>
            <w:tcW w:w="992" w:type="dxa"/>
            <w:shd w:val="clear" w:color="auto" w:fill="FFFFFF" w:themeFill="background1"/>
          </w:tcPr>
          <w:p w14:paraId="700433F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99.3</w:t>
            </w:r>
          </w:p>
        </w:tc>
        <w:tc>
          <w:tcPr>
            <w:tcW w:w="1071" w:type="dxa"/>
            <w:shd w:val="clear" w:color="auto" w:fill="FFFFFF" w:themeFill="background1"/>
          </w:tcPr>
          <w:p w14:paraId="6C4B021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93.8</w:t>
            </w:r>
          </w:p>
        </w:tc>
        <w:tc>
          <w:tcPr>
            <w:tcW w:w="992" w:type="dxa"/>
            <w:shd w:val="clear" w:color="auto" w:fill="FFFFFF" w:themeFill="background1"/>
          </w:tcPr>
          <w:p w14:paraId="149B36F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62.7</w:t>
            </w:r>
          </w:p>
        </w:tc>
        <w:tc>
          <w:tcPr>
            <w:tcW w:w="1276" w:type="dxa"/>
            <w:gridSpan w:val="2"/>
            <w:shd w:val="clear" w:color="auto" w:fill="FFFFFF" w:themeFill="background1"/>
          </w:tcPr>
          <w:p w14:paraId="2197A3A1"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69.2</w:t>
            </w:r>
          </w:p>
        </w:tc>
      </w:tr>
      <w:tr w:rsidR="00C246EC" w:rsidRPr="002644AE" w14:paraId="5B89D2B9" w14:textId="77777777" w:rsidTr="00CB68FA">
        <w:trPr>
          <w:jc w:val="center"/>
        </w:trPr>
        <w:tc>
          <w:tcPr>
            <w:tcW w:w="2494" w:type="dxa"/>
            <w:vMerge/>
            <w:shd w:val="clear" w:color="auto" w:fill="FFFFFF" w:themeFill="background1"/>
          </w:tcPr>
          <w:p w14:paraId="6102439D" w14:textId="77777777" w:rsidR="00C246EC" w:rsidRPr="002644AE" w:rsidRDefault="00C246EC" w:rsidP="00CB68FA">
            <w:pPr>
              <w:spacing w:line="360" w:lineRule="auto"/>
              <w:rPr>
                <w:rFonts w:cs="Times New Roman"/>
                <w:sz w:val="20"/>
                <w:szCs w:val="20"/>
              </w:rPr>
            </w:pPr>
          </w:p>
        </w:tc>
        <w:tc>
          <w:tcPr>
            <w:tcW w:w="3523" w:type="dxa"/>
            <w:shd w:val="clear" w:color="auto" w:fill="FFFFFF" w:themeFill="background1"/>
          </w:tcPr>
          <w:p w14:paraId="2EE8CD15" w14:textId="77777777" w:rsidR="00C246EC" w:rsidRPr="002644AE" w:rsidRDefault="00C246EC" w:rsidP="00CB68FA">
            <w:pPr>
              <w:spacing w:line="360" w:lineRule="auto"/>
              <w:rPr>
                <w:rFonts w:cs="Times New Roman"/>
                <w:sz w:val="20"/>
                <w:szCs w:val="20"/>
              </w:rPr>
            </w:pPr>
            <w:r w:rsidRPr="002644AE">
              <w:rPr>
                <w:rFonts w:cs="Times New Roman"/>
                <w:sz w:val="20"/>
                <w:szCs w:val="20"/>
              </w:rPr>
              <w:t>Barcelos</w:t>
            </w:r>
          </w:p>
        </w:tc>
        <w:tc>
          <w:tcPr>
            <w:tcW w:w="1134" w:type="dxa"/>
            <w:shd w:val="clear" w:color="auto" w:fill="FFFFFF" w:themeFill="background1"/>
          </w:tcPr>
          <w:p w14:paraId="3410597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62.2</w:t>
            </w:r>
          </w:p>
        </w:tc>
        <w:tc>
          <w:tcPr>
            <w:tcW w:w="992" w:type="dxa"/>
            <w:shd w:val="clear" w:color="auto" w:fill="FFFFFF" w:themeFill="background1"/>
          </w:tcPr>
          <w:p w14:paraId="72445AC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58.6</w:t>
            </w:r>
          </w:p>
        </w:tc>
        <w:tc>
          <w:tcPr>
            <w:tcW w:w="1071" w:type="dxa"/>
            <w:shd w:val="clear" w:color="auto" w:fill="FFFFFF" w:themeFill="background1"/>
          </w:tcPr>
          <w:p w14:paraId="435C7C5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43.9</w:t>
            </w:r>
          </w:p>
        </w:tc>
        <w:tc>
          <w:tcPr>
            <w:tcW w:w="992" w:type="dxa"/>
            <w:shd w:val="clear" w:color="auto" w:fill="FFFFFF" w:themeFill="background1"/>
          </w:tcPr>
          <w:p w14:paraId="4E1BA21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35.3</w:t>
            </w:r>
          </w:p>
        </w:tc>
        <w:tc>
          <w:tcPr>
            <w:tcW w:w="1276" w:type="dxa"/>
            <w:gridSpan w:val="2"/>
            <w:shd w:val="clear" w:color="auto" w:fill="FFFFFF" w:themeFill="background1"/>
          </w:tcPr>
          <w:p w14:paraId="152585C7"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31.4</w:t>
            </w:r>
          </w:p>
        </w:tc>
      </w:tr>
      <w:tr w:rsidR="00C246EC" w:rsidRPr="002644AE" w14:paraId="2ED5953D" w14:textId="77777777" w:rsidTr="00CB68FA">
        <w:trPr>
          <w:jc w:val="center"/>
        </w:trPr>
        <w:tc>
          <w:tcPr>
            <w:tcW w:w="2494" w:type="dxa"/>
            <w:vMerge/>
            <w:tcBorders>
              <w:bottom w:val="single" w:sz="12" w:space="0" w:color="auto"/>
            </w:tcBorders>
            <w:shd w:val="clear" w:color="auto" w:fill="FFFFFF" w:themeFill="background1"/>
          </w:tcPr>
          <w:p w14:paraId="5165DC39" w14:textId="77777777" w:rsidR="00C246EC" w:rsidRPr="002644AE" w:rsidRDefault="00C246EC" w:rsidP="00CB68FA">
            <w:pPr>
              <w:spacing w:line="360" w:lineRule="auto"/>
              <w:rPr>
                <w:rFonts w:cs="Times New Roman"/>
                <w:sz w:val="20"/>
                <w:szCs w:val="20"/>
              </w:rPr>
            </w:pPr>
          </w:p>
        </w:tc>
        <w:tc>
          <w:tcPr>
            <w:tcW w:w="3523" w:type="dxa"/>
            <w:tcBorders>
              <w:bottom w:val="single" w:sz="12" w:space="0" w:color="auto"/>
            </w:tcBorders>
            <w:shd w:val="clear" w:color="auto" w:fill="FFFFFF" w:themeFill="background1"/>
          </w:tcPr>
          <w:p w14:paraId="4BBE4874" w14:textId="77777777" w:rsidR="00C246EC" w:rsidRPr="002644AE" w:rsidRDefault="00C246EC" w:rsidP="00CB68FA">
            <w:pPr>
              <w:spacing w:line="360" w:lineRule="auto"/>
              <w:rPr>
                <w:rFonts w:cs="Times New Roman"/>
                <w:sz w:val="20"/>
                <w:szCs w:val="20"/>
              </w:rPr>
            </w:pPr>
            <w:r w:rsidRPr="002644AE">
              <w:rPr>
                <w:rFonts w:cs="Times New Roman"/>
                <w:sz w:val="20"/>
                <w:szCs w:val="20"/>
              </w:rPr>
              <w:t>São João das Missões</w:t>
            </w:r>
          </w:p>
        </w:tc>
        <w:tc>
          <w:tcPr>
            <w:tcW w:w="1134" w:type="dxa"/>
            <w:tcBorders>
              <w:bottom w:val="single" w:sz="12" w:space="0" w:color="auto"/>
            </w:tcBorders>
            <w:shd w:val="clear" w:color="auto" w:fill="FFFFFF" w:themeFill="background1"/>
          </w:tcPr>
          <w:p w14:paraId="5DEE6A7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100.0</w:t>
            </w:r>
          </w:p>
        </w:tc>
        <w:tc>
          <w:tcPr>
            <w:tcW w:w="992" w:type="dxa"/>
            <w:tcBorders>
              <w:bottom w:val="single" w:sz="12" w:space="0" w:color="auto"/>
            </w:tcBorders>
            <w:shd w:val="clear" w:color="auto" w:fill="FFFFFF" w:themeFill="background1"/>
          </w:tcPr>
          <w:p w14:paraId="1E787A9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118.2</w:t>
            </w:r>
          </w:p>
        </w:tc>
        <w:tc>
          <w:tcPr>
            <w:tcW w:w="1071" w:type="dxa"/>
            <w:tcBorders>
              <w:bottom w:val="single" w:sz="12" w:space="0" w:color="auto"/>
            </w:tcBorders>
            <w:shd w:val="clear" w:color="auto" w:fill="FFFFFF" w:themeFill="background1"/>
          </w:tcPr>
          <w:p w14:paraId="0F04587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98.5</w:t>
            </w:r>
          </w:p>
        </w:tc>
        <w:tc>
          <w:tcPr>
            <w:tcW w:w="992" w:type="dxa"/>
            <w:tcBorders>
              <w:bottom w:val="single" w:sz="12" w:space="0" w:color="auto"/>
            </w:tcBorders>
            <w:shd w:val="clear" w:color="auto" w:fill="FFFFFF" w:themeFill="background1"/>
          </w:tcPr>
          <w:p w14:paraId="34C1892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78.5</w:t>
            </w:r>
          </w:p>
        </w:tc>
        <w:tc>
          <w:tcPr>
            <w:tcW w:w="1276" w:type="dxa"/>
            <w:gridSpan w:val="2"/>
            <w:tcBorders>
              <w:bottom w:val="single" w:sz="12" w:space="0" w:color="auto"/>
            </w:tcBorders>
            <w:shd w:val="clear" w:color="auto" w:fill="FFFFFF" w:themeFill="background1"/>
          </w:tcPr>
          <w:p w14:paraId="7FB71CB7"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58.8</w:t>
            </w:r>
          </w:p>
        </w:tc>
      </w:tr>
      <w:tr w:rsidR="00C246EC" w:rsidRPr="002644AE" w14:paraId="50636FF7" w14:textId="77777777" w:rsidTr="00CB68FA">
        <w:trPr>
          <w:jc w:val="center"/>
        </w:trPr>
        <w:tc>
          <w:tcPr>
            <w:tcW w:w="2494" w:type="dxa"/>
            <w:vMerge w:val="restart"/>
            <w:tcBorders>
              <w:top w:val="single" w:sz="12" w:space="0" w:color="auto"/>
            </w:tcBorders>
            <w:shd w:val="clear" w:color="auto" w:fill="FFFFFF" w:themeFill="background1"/>
          </w:tcPr>
          <w:p w14:paraId="52CB0945" w14:textId="77777777" w:rsidR="00C246EC" w:rsidRPr="002644AE" w:rsidRDefault="00C246EC" w:rsidP="00CB68FA">
            <w:pPr>
              <w:spacing w:line="360" w:lineRule="auto"/>
              <w:jc w:val="center"/>
              <w:rPr>
                <w:rFonts w:cs="Times New Roman"/>
                <w:sz w:val="20"/>
                <w:szCs w:val="20"/>
              </w:rPr>
            </w:pPr>
          </w:p>
          <w:p w14:paraId="522F7A2D" w14:textId="77777777" w:rsidR="00C246EC" w:rsidRPr="002644AE" w:rsidRDefault="00C246EC" w:rsidP="00CB68FA">
            <w:pPr>
              <w:spacing w:line="360" w:lineRule="auto"/>
              <w:jc w:val="center"/>
              <w:rPr>
                <w:rFonts w:cs="Times New Roman"/>
                <w:sz w:val="20"/>
                <w:szCs w:val="20"/>
              </w:rPr>
            </w:pPr>
          </w:p>
          <w:p w14:paraId="026EEF96" w14:textId="77777777" w:rsidR="00C246EC" w:rsidRPr="002644AE" w:rsidRDefault="00C246EC" w:rsidP="00CB68FA">
            <w:pPr>
              <w:spacing w:line="360" w:lineRule="auto"/>
              <w:jc w:val="center"/>
              <w:rPr>
                <w:rFonts w:cs="Times New Roman"/>
                <w:sz w:val="20"/>
                <w:szCs w:val="20"/>
              </w:rPr>
            </w:pPr>
          </w:p>
          <w:p w14:paraId="74E9FBCC" w14:textId="77777777" w:rsidR="00C246EC" w:rsidRPr="002644AE" w:rsidRDefault="00C246EC" w:rsidP="00CB68FA">
            <w:pPr>
              <w:spacing w:line="360" w:lineRule="auto"/>
              <w:jc w:val="center"/>
              <w:rPr>
                <w:rFonts w:cs="Times New Roman"/>
                <w:sz w:val="20"/>
                <w:szCs w:val="20"/>
              </w:rPr>
            </w:pPr>
          </w:p>
          <w:p w14:paraId="4F6DA4B1" w14:textId="77777777" w:rsidR="00C246EC" w:rsidRPr="002644AE" w:rsidRDefault="00C246EC" w:rsidP="00443611">
            <w:pPr>
              <w:spacing w:line="360" w:lineRule="auto"/>
              <w:rPr>
                <w:rFonts w:cs="Times New Roman"/>
                <w:sz w:val="20"/>
                <w:szCs w:val="20"/>
              </w:rPr>
            </w:pPr>
            <w:r w:rsidRPr="002644AE">
              <w:rPr>
                <w:rFonts w:cs="Times New Roman"/>
                <w:sz w:val="20"/>
                <w:szCs w:val="20"/>
              </w:rPr>
              <w:t>BCG</w:t>
            </w:r>
          </w:p>
        </w:tc>
        <w:tc>
          <w:tcPr>
            <w:tcW w:w="3523" w:type="dxa"/>
            <w:tcBorders>
              <w:top w:val="single" w:sz="12" w:space="0" w:color="auto"/>
            </w:tcBorders>
            <w:shd w:val="clear" w:color="auto" w:fill="FFFFFF" w:themeFill="background1"/>
          </w:tcPr>
          <w:p w14:paraId="3C53F424" w14:textId="77777777" w:rsidR="00C246EC" w:rsidRPr="002644AE" w:rsidRDefault="00C246EC" w:rsidP="00CB68FA">
            <w:pPr>
              <w:spacing w:line="360" w:lineRule="auto"/>
              <w:rPr>
                <w:rFonts w:cs="Times New Roman"/>
                <w:sz w:val="20"/>
                <w:szCs w:val="20"/>
              </w:rPr>
            </w:pPr>
            <w:r w:rsidRPr="002644AE">
              <w:rPr>
                <w:rFonts w:cs="Times New Roman"/>
                <w:sz w:val="20"/>
                <w:szCs w:val="20"/>
              </w:rPr>
              <w:lastRenderedPageBreak/>
              <w:t>São Gabriel da Cachoeira</w:t>
            </w:r>
          </w:p>
        </w:tc>
        <w:tc>
          <w:tcPr>
            <w:tcW w:w="1134" w:type="dxa"/>
            <w:tcBorders>
              <w:top w:val="single" w:sz="12" w:space="0" w:color="auto"/>
            </w:tcBorders>
            <w:shd w:val="clear" w:color="auto" w:fill="FFFFFF" w:themeFill="background1"/>
          </w:tcPr>
          <w:p w14:paraId="7BC9DAB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109.0</w:t>
            </w:r>
          </w:p>
        </w:tc>
        <w:tc>
          <w:tcPr>
            <w:tcW w:w="992" w:type="dxa"/>
            <w:tcBorders>
              <w:top w:val="single" w:sz="12" w:space="0" w:color="auto"/>
            </w:tcBorders>
            <w:shd w:val="clear" w:color="auto" w:fill="FFFFFF" w:themeFill="background1"/>
          </w:tcPr>
          <w:p w14:paraId="09D9D12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119.8</w:t>
            </w:r>
          </w:p>
        </w:tc>
        <w:tc>
          <w:tcPr>
            <w:tcW w:w="1071" w:type="dxa"/>
            <w:tcBorders>
              <w:top w:val="single" w:sz="12" w:space="0" w:color="auto"/>
            </w:tcBorders>
            <w:shd w:val="clear" w:color="auto" w:fill="FFFFFF" w:themeFill="background1"/>
          </w:tcPr>
          <w:p w14:paraId="0439206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48.7</w:t>
            </w:r>
          </w:p>
        </w:tc>
        <w:tc>
          <w:tcPr>
            <w:tcW w:w="992" w:type="dxa"/>
            <w:tcBorders>
              <w:top w:val="single" w:sz="12" w:space="0" w:color="auto"/>
            </w:tcBorders>
            <w:shd w:val="clear" w:color="auto" w:fill="FFFFFF" w:themeFill="background1"/>
          </w:tcPr>
          <w:p w14:paraId="1E9BFBF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44.4</w:t>
            </w:r>
          </w:p>
        </w:tc>
        <w:tc>
          <w:tcPr>
            <w:tcW w:w="1276" w:type="dxa"/>
            <w:gridSpan w:val="2"/>
            <w:tcBorders>
              <w:top w:val="single" w:sz="12" w:space="0" w:color="auto"/>
            </w:tcBorders>
            <w:shd w:val="clear" w:color="auto" w:fill="FFFFFF" w:themeFill="background1"/>
          </w:tcPr>
          <w:p w14:paraId="611DD439"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53.1</w:t>
            </w:r>
          </w:p>
        </w:tc>
      </w:tr>
      <w:tr w:rsidR="00C246EC" w:rsidRPr="002644AE" w14:paraId="155E8276" w14:textId="77777777" w:rsidTr="00CB68FA">
        <w:trPr>
          <w:jc w:val="center"/>
        </w:trPr>
        <w:tc>
          <w:tcPr>
            <w:tcW w:w="2494" w:type="dxa"/>
            <w:vMerge/>
            <w:shd w:val="clear" w:color="auto" w:fill="FFFFFF" w:themeFill="background1"/>
          </w:tcPr>
          <w:p w14:paraId="11CB27BB"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39BFF1F9"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 de Olivença</w:t>
            </w:r>
          </w:p>
        </w:tc>
        <w:tc>
          <w:tcPr>
            <w:tcW w:w="1134" w:type="dxa"/>
            <w:shd w:val="clear" w:color="auto" w:fill="FFFFFF" w:themeFill="background1"/>
          </w:tcPr>
          <w:p w14:paraId="13B2AA6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116.1</w:t>
            </w:r>
          </w:p>
        </w:tc>
        <w:tc>
          <w:tcPr>
            <w:tcW w:w="992" w:type="dxa"/>
            <w:shd w:val="clear" w:color="auto" w:fill="FFFFFF" w:themeFill="background1"/>
          </w:tcPr>
          <w:p w14:paraId="4840468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98.0</w:t>
            </w:r>
          </w:p>
        </w:tc>
        <w:tc>
          <w:tcPr>
            <w:tcW w:w="1071" w:type="dxa"/>
            <w:shd w:val="clear" w:color="auto" w:fill="FFFFFF" w:themeFill="background1"/>
          </w:tcPr>
          <w:p w14:paraId="64DE6E5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40.1</w:t>
            </w:r>
          </w:p>
        </w:tc>
        <w:tc>
          <w:tcPr>
            <w:tcW w:w="992" w:type="dxa"/>
            <w:shd w:val="clear" w:color="auto" w:fill="FFFFFF" w:themeFill="background1"/>
          </w:tcPr>
          <w:p w14:paraId="443C4D3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18.4</w:t>
            </w:r>
          </w:p>
        </w:tc>
        <w:tc>
          <w:tcPr>
            <w:tcW w:w="1276" w:type="dxa"/>
            <w:gridSpan w:val="2"/>
            <w:shd w:val="clear" w:color="auto" w:fill="FFFFFF" w:themeFill="background1"/>
          </w:tcPr>
          <w:p w14:paraId="586AD447"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39.8</w:t>
            </w:r>
          </w:p>
        </w:tc>
      </w:tr>
      <w:tr w:rsidR="00C246EC" w:rsidRPr="002644AE" w14:paraId="116B8247" w14:textId="77777777" w:rsidTr="00CB68FA">
        <w:trPr>
          <w:jc w:val="center"/>
        </w:trPr>
        <w:tc>
          <w:tcPr>
            <w:tcW w:w="2494" w:type="dxa"/>
            <w:vMerge/>
            <w:shd w:val="clear" w:color="auto" w:fill="FFFFFF" w:themeFill="background1"/>
          </w:tcPr>
          <w:p w14:paraId="65BF9419"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01A17BDF" w14:textId="77777777" w:rsidR="00C246EC" w:rsidRPr="002644AE" w:rsidRDefault="00C246EC" w:rsidP="00CB68FA">
            <w:pPr>
              <w:spacing w:line="360" w:lineRule="auto"/>
              <w:rPr>
                <w:rFonts w:cs="Times New Roman"/>
                <w:sz w:val="20"/>
                <w:szCs w:val="20"/>
              </w:rPr>
            </w:pPr>
            <w:r w:rsidRPr="002644AE">
              <w:rPr>
                <w:rFonts w:cs="Times New Roman"/>
                <w:sz w:val="20"/>
                <w:szCs w:val="20"/>
              </w:rPr>
              <w:t>Tabatinga</w:t>
            </w:r>
          </w:p>
        </w:tc>
        <w:tc>
          <w:tcPr>
            <w:tcW w:w="1134" w:type="dxa"/>
            <w:shd w:val="clear" w:color="auto" w:fill="FFFFFF" w:themeFill="background1"/>
          </w:tcPr>
          <w:p w14:paraId="2B19C5F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114.0</w:t>
            </w:r>
          </w:p>
        </w:tc>
        <w:tc>
          <w:tcPr>
            <w:tcW w:w="992" w:type="dxa"/>
            <w:shd w:val="clear" w:color="auto" w:fill="FFFFFF" w:themeFill="background1"/>
          </w:tcPr>
          <w:p w14:paraId="16CD930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98.5</w:t>
            </w:r>
          </w:p>
        </w:tc>
        <w:tc>
          <w:tcPr>
            <w:tcW w:w="1071" w:type="dxa"/>
            <w:shd w:val="clear" w:color="auto" w:fill="FFFFFF" w:themeFill="background1"/>
          </w:tcPr>
          <w:p w14:paraId="678DDB7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96.8</w:t>
            </w:r>
          </w:p>
        </w:tc>
        <w:tc>
          <w:tcPr>
            <w:tcW w:w="992" w:type="dxa"/>
            <w:shd w:val="clear" w:color="auto" w:fill="FFFFFF" w:themeFill="background1"/>
          </w:tcPr>
          <w:p w14:paraId="4828CEE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94.8</w:t>
            </w:r>
          </w:p>
        </w:tc>
        <w:tc>
          <w:tcPr>
            <w:tcW w:w="1276" w:type="dxa"/>
            <w:gridSpan w:val="2"/>
            <w:shd w:val="clear" w:color="auto" w:fill="FFFFFF" w:themeFill="background1"/>
          </w:tcPr>
          <w:p w14:paraId="6096BA07"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93.3</w:t>
            </w:r>
          </w:p>
        </w:tc>
      </w:tr>
      <w:tr w:rsidR="00C246EC" w:rsidRPr="002644AE" w14:paraId="34BC5B06" w14:textId="77777777" w:rsidTr="00CB68FA">
        <w:trPr>
          <w:jc w:val="center"/>
        </w:trPr>
        <w:tc>
          <w:tcPr>
            <w:tcW w:w="2494" w:type="dxa"/>
            <w:vMerge/>
            <w:shd w:val="clear" w:color="auto" w:fill="FFFFFF" w:themeFill="background1"/>
          </w:tcPr>
          <w:p w14:paraId="64718833"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72830562"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w:t>
            </w:r>
          </w:p>
        </w:tc>
        <w:tc>
          <w:tcPr>
            <w:tcW w:w="1134" w:type="dxa"/>
            <w:shd w:val="clear" w:color="auto" w:fill="FFFFFF" w:themeFill="background1"/>
          </w:tcPr>
          <w:p w14:paraId="2772804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99.5</w:t>
            </w:r>
          </w:p>
        </w:tc>
        <w:tc>
          <w:tcPr>
            <w:tcW w:w="992" w:type="dxa"/>
            <w:shd w:val="clear" w:color="auto" w:fill="FFFFFF" w:themeFill="background1"/>
          </w:tcPr>
          <w:p w14:paraId="6EB0116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77.7</w:t>
            </w:r>
          </w:p>
        </w:tc>
        <w:tc>
          <w:tcPr>
            <w:tcW w:w="1071" w:type="dxa"/>
            <w:shd w:val="clear" w:color="auto" w:fill="FFFFFF" w:themeFill="background1"/>
          </w:tcPr>
          <w:p w14:paraId="7398DF6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63.1</w:t>
            </w:r>
          </w:p>
        </w:tc>
        <w:tc>
          <w:tcPr>
            <w:tcW w:w="992" w:type="dxa"/>
            <w:shd w:val="clear" w:color="auto" w:fill="FFFFFF" w:themeFill="background1"/>
          </w:tcPr>
          <w:p w14:paraId="4ABE7E5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60.8</w:t>
            </w:r>
          </w:p>
        </w:tc>
        <w:tc>
          <w:tcPr>
            <w:tcW w:w="1276" w:type="dxa"/>
            <w:gridSpan w:val="2"/>
            <w:shd w:val="clear" w:color="auto" w:fill="FFFFFF" w:themeFill="background1"/>
          </w:tcPr>
          <w:p w14:paraId="0902351D"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62.8</w:t>
            </w:r>
          </w:p>
        </w:tc>
      </w:tr>
      <w:tr w:rsidR="00C246EC" w:rsidRPr="002644AE" w14:paraId="1D280284" w14:textId="77777777" w:rsidTr="00CB68FA">
        <w:trPr>
          <w:jc w:val="center"/>
        </w:trPr>
        <w:tc>
          <w:tcPr>
            <w:tcW w:w="2494" w:type="dxa"/>
            <w:vMerge/>
            <w:shd w:val="clear" w:color="auto" w:fill="FFFFFF" w:themeFill="background1"/>
          </w:tcPr>
          <w:p w14:paraId="38FCC594"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543494C8" w14:textId="77777777" w:rsidR="00C246EC" w:rsidRPr="002644AE" w:rsidRDefault="00C246EC" w:rsidP="00CB68FA">
            <w:pPr>
              <w:spacing w:line="360" w:lineRule="auto"/>
              <w:rPr>
                <w:rFonts w:cs="Times New Roman"/>
                <w:sz w:val="20"/>
                <w:szCs w:val="20"/>
              </w:rPr>
            </w:pPr>
            <w:r w:rsidRPr="002644AE">
              <w:rPr>
                <w:rFonts w:cs="Times New Roman"/>
                <w:sz w:val="20"/>
                <w:szCs w:val="20"/>
              </w:rPr>
              <w:t>Santa Isabel do Rio Negro</w:t>
            </w:r>
          </w:p>
        </w:tc>
        <w:tc>
          <w:tcPr>
            <w:tcW w:w="1134" w:type="dxa"/>
            <w:shd w:val="clear" w:color="auto" w:fill="FFFFFF" w:themeFill="background1"/>
          </w:tcPr>
          <w:p w14:paraId="003CAA9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115.4</w:t>
            </w:r>
          </w:p>
        </w:tc>
        <w:tc>
          <w:tcPr>
            <w:tcW w:w="992" w:type="dxa"/>
            <w:shd w:val="clear" w:color="auto" w:fill="FFFFFF" w:themeFill="background1"/>
          </w:tcPr>
          <w:p w14:paraId="3268B52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78.1</w:t>
            </w:r>
          </w:p>
        </w:tc>
        <w:tc>
          <w:tcPr>
            <w:tcW w:w="1071" w:type="dxa"/>
            <w:shd w:val="clear" w:color="auto" w:fill="FFFFFF" w:themeFill="background1"/>
          </w:tcPr>
          <w:p w14:paraId="75FA544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60.5</w:t>
            </w:r>
          </w:p>
        </w:tc>
        <w:tc>
          <w:tcPr>
            <w:tcW w:w="992" w:type="dxa"/>
            <w:shd w:val="clear" w:color="auto" w:fill="FFFFFF" w:themeFill="background1"/>
          </w:tcPr>
          <w:p w14:paraId="1F8068C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73.9</w:t>
            </w:r>
          </w:p>
        </w:tc>
        <w:tc>
          <w:tcPr>
            <w:tcW w:w="1276" w:type="dxa"/>
            <w:gridSpan w:val="2"/>
            <w:shd w:val="clear" w:color="auto" w:fill="FFFFFF" w:themeFill="background1"/>
          </w:tcPr>
          <w:p w14:paraId="1C41A372"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64.1</w:t>
            </w:r>
          </w:p>
        </w:tc>
      </w:tr>
      <w:tr w:rsidR="00C246EC" w:rsidRPr="002644AE" w14:paraId="6B127DD0" w14:textId="77777777" w:rsidTr="00CB68FA">
        <w:trPr>
          <w:jc w:val="center"/>
        </w:trPr>
        <w:tc>
          <w:tcPr>
            <w:tcW w:w="2494" w:type="dxa"/>
            <w:vMerge/>
            <w:shd w:val="clear" w:color="auto" w:fill="FFFFFF" w:themeFill="background1"/>
          </w:tcPr>
          <w:p w14:paraId="22F53AFA"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34E44510" w14:textId="77777777" w:rsidR="00C246EC" w:rsidRPr="002644AE" w:rsidRDefault="00C246EC" w:rsidP="00CB68FA">
            <w:pPr>
              <w:spacing w:line="360" w:lineRule="auto"/>
              <w:rPr>
                <w:rFonts w:cs="Times New Roman"/>
                <w:sz w:val="20"/>
                <w:szCs w:val="20"/>
              </w:rPr>
            </w:pPr>
            <w:r w:rsidRPr="002644AE">
              <w:rPr>
                <w:rFonts w:cs="Times New Roman"/>
                <w:sz w:val="20"/>
                <w:szCs w:val="20"/>
              </w:rPr>
              <w:t>Benjamin Constant</w:t>
            </w:r>
          </w:p>
        </w:tc>
        <w:tc>
          <w:tcPr>
            <w:tcW w:w="1134" w:type="dxa"/>
            <w:shd w:val="clear" w:color="auto" w:fill="FFFFFF" w:themeFill="background1"/>
          </w:tcPr>
          <w:p w14:paraId="343A5227"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105.2</w:t>
            </w:r>
          </w:p>
        </w:tc>
        <w:tc>
          <w:tcPr>
            <w:tcW w:w="992" w:type="dxa"/>
            <w:shd w:val="clear" w:color="auto" w:fill="FFFFFF" w:themeFill="background1"/>
          </w:tcPr>
          <w:p w14:paraId="3C6E65C1" w14:textId="77777777" w:rsidR="00C246EC" w:rsidRPr="002644AE" w:rsidRDefault="00C246EC" w:rsidP="00CB68FA">
            <w:pPr>
              <w:spacing w:line="360" w:lineRule="auto"/>
              <w:jc w:val="center"/>
              <w:rPr>
                <w:rFonts w:cs="Times New Roman"/>
                <w:b/>
                <w:bCs/>
                <w:sz w:val="20"/>
                <w:szCs w:val="20"/>
              </w:rPr>
            </w:pPr>
            <w:r w:rsidRPr="002644AE">
              <w:rPr>
                <w:rFonts w:cs="Times New Roman"/>
                <w:sz w:val="20"/>
                <w:szCs w:val="20"/>
              </w:rPr>
              <w:t>141.0</w:t>
            </w:r>
          </w:p>
        </w:tc>
        <w:tc>
          <w:tcPr>
            <w:tcW w:w="1071" w:type="dxa"/>
            <w:shd w:val="clear" w:color="auto" w:fill="FFFFFF" w:themeFill="background1"/>
          </w:tcPr>
          <w:p w14:paraId="724270C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87.0</w:t>
            </w:r>
          </w:p>
        </w:tc>
        <w:tc>
          <w:tcPr>
            <w:tcW w:w="992" w:type="dxa"/>
            <w:shd w:val="clear" w:color="auto" w:fill="FFFFFF" w:themeFill="background1"/>
          </w:tcPr>
          <w:p w14:paraId="79EE8AE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37.3</w:t>
            </w:r>
          </w:p>
        </w:tc>
        <w:tc>
          <w:tcPr>
            <w:tcW w:w="1276" w:type="dxa"/>
            <w:gridSpan w:val="2"/>
            <w:shd w:val="clear" w:color="auto" w:fill="FFFFFF" w:themeFill="background1"/>
          </w:tcPr>
          <w:p w14:paraId="4F542B6B"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22.9</w:t>
            </w:r>
          </w:p>
        </w:tc>
      </w:tr>
      <w:tr w:rsidR="00C246EC" w:rsidRPr="002644AE" w14:paraId="14F26973" w14:textId="77777777" w:rsidTr="00CB68FA">
        <w:trPr>
          <w:jc w:val="center"/>
        </w:trPr>
        <w:tc>
          <w:tcPr>
            <w:tcW w:w="2494" w:type="dxa"/>
            <w:vMerge/>
            <w:shd w:val="clear" w:color="auto" w:fill="FFFFFF" w:themeFill="background1"/>
          </w:tcPr>
          <w:p w14:paraId="3F717B84"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7F9C409B" w14:textId="77777777" w:rsidR="00C246EC" w:rsidRPr="002644AE" w:rsidRDefault="00C246EC" w:rsidP="00CB68FA">
            <w:pPr>
              <w:spacing w:line="360" w:lineRule="auto"/>
              <w:rPr>
                <w:rFonts w:cs="Times New Roman"/>
                <w:sz w:val="20"/>
                <w:szCs w:val="20"/>
              </w:rPr>
            </w:pPr>
            <w:r w:rsidRPr="002644AE">
              <w:rPr>
                <w:rFonts w:cs="Times New Roman"/>
                <w:sz w:val="20"/>
                <w:szCs w:val="20"/>
              </w:rPr>
              <w:t>Pesqueira</w:t>
            </w:r>
          </w:p>
        </w:tc>
        <w:tc>
          <w:tcPr>
            <w:tcW w:w="1134" w:type="dxa"/>
            <w:shd w:val="clear" w:color="auto" w:fill="FFFFFF" w:themeFill="background1"/>
          </w:tcPr>
          <w:p w14:paraId="2867695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115.1</w:t>
            </w:r>
          </w:p>
        </w:tc>
        <w:tc>
          <w:tcPr>
            <w:tcW w:w="992" w:type="dxa"/>
            <w:shd w:val="clear" w:color="auto" w:fill="FFFFFF" w:themeFill="background1"/>
          </w:tcPr>
          <w:p w14:paraId="2241830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99.3</w:t>
            </w:r>
          </w:p>
        </w:tc>
        <w:tc>
          <w:tcPr>
            <w:tcW w:w="1071" w:type="dxa"/>
            <w:shd w:val="clear" w:color="auto" w:fill="FFFFFF" w:themeFill="background1"/>
          </w:tcPr>
          <w:p w14:paraId="464C7B8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72.1</w:t>
            </w:r>
          </w:p>
        </w:tc>
        <w:tc>
          <w:tcPr>
            <w:tcW w:w="992" w:type="dxa"/>
            <w:shd w:val="clear" w:color="auto" w:fill="FFFFFF" w:themeFill="background1"/>
          </w:tcPr>
          <w:p w14:paraId="7F2B0D8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79.9</w:t>
            </w:r>
          </w:p>
        </w:tc>
        <w:tc>
          <w:tcPr>
            <w:tcW w:w="1276" w:type="dxa"/>
            <w:gridSpan w:val="2"/>
            <w:shd w:val="clear" w:color="auto" w:fill="FFFFFF" w:themeFill="background1"/>
          </w:tcPr>
          <w:p w14:paraId="31B2018E"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98.7</w:t>
            </w:r>
          </w:p>
        </w:tc>
      </w:tr>
      <w:tr w:rsidR="00C246EC" w:rsidRPr="002644AE" w14:paraId="3681E795" w14:textId="77777777" w:rsidTr="00CB68FA">
        <w:trPr>
          <w:jc w:val="center"/>
        </w:trPr>
        <w:tc>
          <w:tcPr>
            <w:tcW w:w="2494" w:type="dxa"/>
            <w:vMerge/>
            <w:shd w:val="clear" w:color="auto" w:fill="FFFFFF" w:themeFill="background1"/>
          </w:tcPr>
          <w:p w14:paraId="32C4117B"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26DF7812" w14:textId="77777777" w:rsidR="00C246EC" w:rsidRPr="002644AE" w:rsidRDefault="00C246EC" w:rsidP="00CB68FA">
            <w:pPr>
              <w:spacing w:line="360" w:lineRule="auto"/>
              <w:rPr>
                <w:rFonts w:cs="Times New Roman"/>
                <w:sz w:val="20"/>
                <w:szCs w:val="20"/>
              </w:rPr>
            </w:pPr>
            <w:r w:rsidRPr="002644AE">
              <w:rPr>
                <w:rFonts w:cs="Times New Roman"/>
                <w:sz w:val="20"/>
                <w:szCs w:val="20"/>
              </w:rPr>
              <w:t>Boa Vista</w:t>
            </w:r>
          </w:p>
        </w:tc>
        <w:tc>
          <w:tcPr>
            <w:tcW w:w="1134" w:type="dxa"/>
            <w:shd w:val="clear" w:color="auto" w:fill="FFFFFF" w:themeFill="background1"/>
          </w:tcPr>
          <w:p w14:paraId="660E22F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144.0</w:t>
            </w:r>
          </w:p>
        </w:tc>
        <w:tc>
          <w:tcPr>
            <w:tcW w:w="992" w:type="dxa"/>
            <w:shd w:val="clear" w:color="auto" w:fill="FFFFFF" w:themeFill="background1"/>
          </w:tcPr>
          <w:p w14:paraId="475FD15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136.1</w:t>
            </w:r>
          </w:p>
        </w:tc>
        <w:tc>
          <w:tcPr>
            <w:tcW w:w="1071" w:type="dxa"/>
            <w:shd w:val="clear" w:color="auto" w:fill="FFFFFF" w:themeFill="background1"/>
          </w:tcPr>
          <w:p w14:paraId="41EFDE1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124.6</w:t>
            </w:r>
          </w:p>
        </w:tc>
        <w:tc>
          <w:tcPr>
            <w:tcW w:w="992" w:type="dxa"/>
            <w:shd w:val="clear" w:color="auto" w:fill="FFFFFF" w:themeFill="background1"/>
          </w:tcPr>
          <w:p w14:paraId="2A28C5A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110.3</w:t>
            </w:r>
          </w:p>
        </w:tc>
        <w:tc>
          <w:tcPr>
            <w:tcW w:w="1276" w:type="dxa"/>
            <w:gridSpan w:val="2"/>
            <w:shd w:val="clear" w:color="auto" w:fill="FFFFFF" w:themeFill="background1"/>
          </w:tcPr>
          <w:p w14:paraId="79330CE0"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112.1</w:t>
            </w:r>
          </w:p>
        </w:tc>
      </w:tr>
      <w:tr w:rsidR="00C246EC" w:rsidRPr="002644AE" w14:paraId="08B1EB9A" w14:textId="77777777" w:rsidTr="00CB68FA">
        <w:trPr>
          <w:jc w:val="center"/>
        </w:trPr>
        <w:tc>
          <w:tcPr>
            <w:tcW w:w="2494" w:type="dxa"/>
            <w:vMerge/>
            <w:shd w:val="clear" w:color="auto" w:fill="FFFFFF" w:themeFill="background1"/>
          </w:tcPr>
          <w:p w14:paraId="309E22DC"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3DAC22B2" w14:textId="77777777" w:rsidR="00C246EC" w:rsidRPr="002644AE" w:rsidRDefault="00C246EC" w:rsidP="00CB68FA">
            <w:pPr>
              <w:spacing w:line="360" w:lineRule="auto"/>
              <w:rPr>
                <w:rFonts w:cs="Times New Roman"/>
                <w:sz w:val="20"/>
                <w:szCs w:val="20"/>
              </w:rPr>
            </w:pPr>
            <w:r w:rsidRPr="002644AE">
              <w:rPr>
                <w:rFonts w:cs="Times New Roman"/>
                <w:sz w:val="20"/>
                <w:szCs w:val="20"/>
              </w:rPr>
              <w:t>Barcelos</w:t>
            </w:r>
          </w:p>
        </w:tc>
        <w:tc>
          <w:tcPr>
            <w:tcW w:w="1134" w:type="dxa"/>
            <w:shd w:val="clear" w:color="auto" w:fill="FFFFFF" w:themeFill="background1"/>
          </w:tcPr>
          <w:p w14:paraId="0FBBD92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77.0</w:t>
            </w:r>
          </w:p>
        </w:tc>
        <w:tc>
          <w:tcPr>
            <w:tcW w:w="992" w:type="dxa"/>
            <w:shd w:val="clear" w:color="auto" w:fill="FFFFFF" w:themeFill="background1"/>
          </w:tcPr>
          <w:p w14:paraId="3486D33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72.0</w:t>
            </w:r>
          </w:p>
        </w:tc>
        <w:tc>
          <w:tcPr>
            <w:tcW w:w="1071" w:type="dxa"/>
            <w:shd w:val="clear" w:color="auto" w:fill="FFFFFF" w:themeFill="background1"/>
          </w:tcPr>
          <w:p w14:paraId="336185E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47.3</w:t>
            </w:r>
          </w:p>
        </w:tc>
        <w:tc>
          <w:tcPr>
            <w:tcW w:w="992" w:type="dxa"/>
            <w:shd w:val="clear" w:color="auto" w:fill="FFFFFF" w:themeFill="background1"/>
          </w:tcPr>
          <w:p w14:paraId="3F59B24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41.6</w:t>
            </w:r>
          </w:p>
        </w:tc>
        <w:tc>
          <w:tcPr>
            <w:tcW w:w="1276" w:type="dxa"/>
            <w:gridSpan w:val="2"/>
            <w:shd w:val="clear" w:color="auto" w:fill="FFFFFF" w:themeFill="background1"/>
          </w:tcPr>
          <w:p w14:paraId="6F180CDA"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42.0</w:t>
            </w:r>
          </w:p>
        </w:tc>
      </w:tr>
      <w:tr w:rsidR="00C246EC" w:rsidRPr="002644AE" w14:paraId="285ADE9F" w14:textId="77777777" w:rsidTr="00CB68FA">
        <w:trPr>
          <w:jc w:val="center"/>
        </w:trPr>
        <w:tc>
          <w:tcPr>
            <w:tcW w:w="2494" w:type="dxa"/>
            <w:vMerge/>
            <w:tcBorders>
              <w:bottom w:val="single" w:sz="12" w:space="0" w:color="auto"/>
            </w:tcBorders>
            <w:shd w:val="clear" w:color="auto" w:fill="FFFFFF" w:themeFill="background1"/>
          </w:tcPr>
          <w:p w14:paraId="2CA835B5" w14:textId="77777777" w:rsidR="00C246EC" w:rsidRPr="002644AE" w:rsidRDefault="00C246EC" w:rsidP="00CB68FA">
            <w:pPr>
              <w:spacing w:line="360" w:lineRule="auto"/>
              <w:jc w:val="center"/>
              <w:rPr>
                <w:rFonts w:cs="Times New Roman"/>
                <w:sz w:val="20"/>
                <w:szCs w:val="20"/>
              </w:rPr>
            </w:pPr>
          </w:p>
        </w:tc>
        <w:tc>
          <w:tcPr>
            <w:tcW w:w="3523" w:type="dxa"/>
            <w:tcBorders>
              <w:bottom w:val="single" w:sz="12" w:space="0" w:color="auto"/>
            </w:tcBorders>
            <w:shd w:val="clear" w:color="auto" w:fill="FFFFFF" w:themeFill="background1"/>
          </w:tcPr>
          <w:p w14:paraId="4C213486" w14:textId="77777777" w:rsidR="00C246EC" w:rsidRPr="002644AE" w:rsidRDefault="00C246EC" w:rsidP="00CB68FA">
            <w:pPr>
              <w:spacing w:line="360" w:lineRule="auto"/>
              <w:rPr>
                <w:rFonts w:cs="Times New Roman"/>
                <w:sz w:val="20"/>
                <w:szCs w:val="20"/>
              </w:rPr>
            </w:pPr>
            <w:r w:rsidRPr="002644AE">
              <w:rPr>
                <w:rFonts w:cs="Times New Roman"/>
                <w:sz w:val="20"/>
                <w:szCs w:val="20"/>
              </w:rPr>
              <w:t>São João das Missões</w:t>
            </w:r>
          </w:p>
        </w:tc>
        <w:tc>
          <w:tcPr>
            <w:tcW w:w="1134" w:type="dxa"/>
            <w:tcBorders>
              <w:bottom w:val="single" w:sz="12" w:space="0" w:color="auto"/>
            </w:tcBorders>
            <w:shd w:val="clear" w:color="auto" w:fill="FFFFFF" w:themeFill="background1"/>
          </w:tcPr>
          <w:p w14:paraId="30E8D55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59.8</w:t>
            </w:r>
          </w:p>
        </w:tc>
        <w:tc>
          <w:tcPr>
            <w:tcW w:w="992" w:type="dxa"/>
            <w:tcBorders>
              <w:bottom w:val="single" w:sz="12" w:space="0" w:color="auto"/>
            </w:tcBorders>
            <w:shd w:val="clear" w:color="auto" w:fill="FFFFFF" w:themeFill="background1"/>
          </w:tcPr>
          <w:p w14:paraId="6F4E451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63.3</w:t>
            </w:r>
          </w:p>
        </w:tc>
        <w:tc>
          <w:tcPr>
            <w:tcW w:w="1071" w:type="dxa"/>
            <w:tcBorders>
              <w:bottom w:val="single" w:sz="12" w:space="0" w:color="auto"/>
            </w:tcBorders>
            <w:shd w:val="clear" w:color="auto" w:fill="FFFFFF" w:themeFill="background1"/>
          </w:tcPr>
          <w:p w14:paraId="28BCC02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101.9</w:t>
            </w:r>
          </w:p>
        </w:tc>
        <w:tc>
          <w:tcPr>
            <w:tcW w:w="992" w:type="dxa"/>
            <w:tcBorders>
              <w:bottom w:val="single" w:sz="12" w:space="0" w:color="auto"/>
            </w:tcBorders>
            <w:shd w:val="clear" w:color="auto" w:fill="FFFFFF" w:themeFill="background1"/>
          </w:tcPr>
          <w:p w14:paraId="6C2427F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105.7</w:t>
            </w:r>
          </w:p>
        </w:tc>
        <w:tc>
          <w:tcPr>
            <w:tcW w:w="1276" w:type="dxa"/>
            <w:gridSpan w:val="2"/>
            <w:tcBorders>
              <w:bottom w:val="single" w:sz="12" w:space="0" w:color="auto"/>
            </w:tcBorders>
            <w:shd w:val="clear" w:color="auto" w:fill="FFFFFF" w:themeFill="background1"/>
          </w:tcPr>
          <w:p w14:paraId="421E882C"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110.2</w:t>
            </w:r>
          </w:p>
        </w:tc>
      </w:tr>
      <w:tr w:rsidR="00C246EC" w:rsidRPr="002644AE" w14:paraId="0A17C9EE" w14:textId="77777777" w:rsidTr="00CB68FA">
        <w:trPr>
          <w:jc w:val="center"/>
        </w:trPr>
        <w:tc>
          <w:tcPr>
            <w:tcW w:w="2494" w:type="dxa"/>
            <w:vMerge w:val="restart"/>
            <w:tcBorders>
              <w:top w:val="single" w:sz="12" w:space="0" w:color="auto"/>
            </w:tcBorders>
            <w:shd w:val="clear" w:color="auto" w:fill="FFFFFF" w:themeFill="background1"/>
          </w:tcPr>
          <w:p w14:paraId="411B3D0C" w14:textId="77777777" w:rsidR="00C246EC" w:rsidRPr="002644AE" w:rsidRDefault="00C246EC" w:rsidP="00CB68FA">
            <w:pPr>
              <w:spacing w:line="360" w:lineRule="auto"/>
              <w:jc w:val="center"/>
              <w:rPr>
                <w:rFonts w:cs="Times New Roman"/>
                <w:sz w:val="20"/>
                <w:szCs w:val="20"/>
              </w:rPr>
            </w:pPr>
          </w:p>
          <w:p w14:paraId="4D01D38B" w14:textId="77777777" w:rsidR="00C246EC" w:rsidRPr="002644AE" w:rsidRDefault="00C246EC" w:rsidP="00CB68FA">
            <w:pPr>
              <w:spacing w:line="360" w:lineRule="auto"/>
              <w:jc w:val="center"/>
              <w:rPr>
                <w:rFonts w:cs="Times New Roman"/>
                <w:sz w:val="20"/>
                <w:szCs w:val="20"/>
              </w:rPr>
            </w:pPr>
          </w:p>
          <w:p w14:paraId="5A1D61B2" w14:textId="77777777" w:rsidR="00C246EC" w:rsidRPr="002644AE" w:rsidRDefault="00C246EC" w:rsidP="00CB68FA">
            <w:pPr>
              <w:spacing w:line="360" w:lineRule="auto"/>
              <w:jc w:val="center"/>
              <w:rPr>
                <w:rFonts w:cs="Times New Roman"/>
                <w:sz w:val="20"/>
                <w:szCs w:val="20"/>
              </w:rPr>
            </w:pPr>
          </w:p>
          <w:p w14:paraId="3439E094" w14:textId="77777777" w:rsidR="00C246EC" w:rsidRPr="002644AE" w:rsidRDefault="00C246EC" w:rsidP="00CB68FA">
            <w:pPr>
              <w:spacing w:line="360" w:lineRule="auto"/>
              <w:jc w:val="center"/>
              <w:rPr>
                <w:rFonts w:cs="Times New Roman"/>
                <w:sz w:val="20"/>
                <w:szCs w:val="20"/>
              </w:rPr>
            </w:pPr>
          </w:p>
          <w:p w14:paraId="2B694B5C" w14:textId="77777777" w:rsidR="00C246EC" w:rsidRPr="002644AE" w:rsidRDefault="00C246EC" w:rsidP="00443611">
            <w:pPr>
              <w:spacing w:line="360" w:lineRule="auto"/>
              <w:rPr>
                <w:rFonts w:cs="Times New Roman"/>
                <w:sz w:val="20"/>
                <w:szCs w:val="20"/>
              </w:rPr>
            </w:pPr>
            <w:proofErr w:type="spellStart"/>
            <w:r w:rsidRPr="002644AE">
              <w:rPr>
                <w:rFonts w:cs="Times New Roman"/>
                <w:sz w:val="20"/>
                <w:szCs w:val="20"/>
              </w:rPr>
              <w:t>Yellow</w:t>
            </w:r>
            <w:proofErr w:type="spellEnd"/>
            <w:r w:rsidRPr="002644AE">
              <w:rPr>
                <w:rFonts w:cs="Times New Roman"/>
                <w:sz w:val="20"/>
                <w:szCs w:val="20"/>
              </w:rPr>
              <w:t xml:space="preserve"> </w:t>
            </w:r>
            <w:proofErr w:type="spellStart"/>
            <w:r w:rsidRPr="002644AE">
              <w:rPr>
                <w:rFonts w:cs="Times New Roman"/>
                <w:sz w:val="20"/>
                <w:szCs w:val="20"/>
              </w:rPr>
              <w:t>Fever</w:t>
            </w:r>
            <w:proofErr w:type="spellEnd"/>
          </w:p>
        </w:tc>
        <w:tc>
          <w:tcPr>
            <w:tcW w:w="3523" w:type="dxa"/>
            <w:tcBorders>
              <w:top w:val="single" w:sz="12" w:space="0" w:color="auto"/>
            </w:tcBorders>
            <w:shd w:val="clear" w:color="auto" w:fill="FFFFFF" w:themeFill="background1"/>
          </w:tcPr>
          <w:p w14:paraId="017CC7BE" w14:textId="77777777" w:rsidR="00C246EC" w:rsidRPr="002644AE" w:rsidRDefault="00C246EC" w:rsidP="00CB68FA">
            <w:pPr>
              <w:spacing w:line="360" w:lineRule="auto"/>
              <w:rPr>
                <w:rFonts w:cs="Times New Roman"/>
                <w:sz w:val="20"/>
                <w:szCs w:val="20"/>
              </w:rPr>
            </w:pPr>
            <w:r w:rsidRPr="002644AE">
              <w:rPr>
                <w:rFonts w:cs="Times New Roman"/>
                <w:sz w:val="20"/>
                <w:szCs w:val="20"/>
              </w:rPr>
              <w:t>São Gabriel da Cachoeira</w:t>
            </w:r>
          </w:p>
        </w:tc>
        <w:tc>
          <w:tcPr>
            <w:tcW w:w="1134" w:type="dxa"/>
            <w:tcBorders>
              <w:top w:val="single" w:sz="12" w:space="0" w:color="auto"/>
            </w:tcBorders>
            <w:shd w:val="clear" w:color="auto" w:fill="FFFFFF" w:themeFill="background1"/>
          </w:tcPr>
          <w:p w14:paraId="2B0763C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68.3</w:t>
            </w:r>
          </w:p>
        </w:tc>
        <w:tc>
          <w:tcPr>
            <w:tcW w:w="992" w:type="dxa"/>
            <w:tcBorders>
              <w:top w:val="single" w:sz="12" w:space="0" w:color="auto"/>
            </w:tcBorders>
            <w:shd w:val="clear" w:color="auto" w:fill="FFFFFF" w:themeFill="background1"/>
          </w:tcPr>
          <w:p w14:paraId="558C3D2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81.0</w:t>
            </w:r>
          </w:p>
        </w:tc>
        <w:tc>
          <w:tcPr>
            <w:tcW w:w="1071" w:type="dxa"/>
            <w:tcBorders>
              <w:top w:val="single" w:sz="12" w:space="0" w:color="auto"/>
            </w:tcBorders>
            <w:shd w:val="clear" w:color="auto" w:fill="FFFFFF" w:themeFill="background1"/>
          </w:tcPr>
          <w:p w14:paraId="001422A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37.8</w:t>
            </w:r>
          </w:p>
        </w:tc>
        <w:tc>
          <w:tcPr>
            <w:tcW w:w="992" w:type="dxa"/>
            <w:tcBorders>
              <w:top w:val="single" w:sz="12" w:space="0" w:color="auto"/>
            </w:tcBorders>
            <w:shd w:val="clear" w:color="auto" w:fill="FFFFFF" w:themeFill="background1"/>
          </w:tcPr>
          <w:p w14:paraId="1F8167E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26.6</w:t>
            </w:r>
          </w:p>
        </w:tc>
        <w:tc>
          <w:tcPr>
            <w:tcW w:w="1276" w:type="dxa"/>
            <w:gridSpan w:val="2"/>
            <w:tcBorders>
              <w:top w:val="single" w:sz="12" w:space="0" w:color="auto"/>
            </w:tcBorders>
            <w:shd w:val="clear" w:color="auto" w:fill="FFFFFF" w:themeFill="background1"/>
          </w:tcPr>
          <w:p w14:paraId="427B2A6F"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33.3</w:t>
            </w:r>
          </w:p>
        </w:tc>
      </w:tr>
      <w:tr w:rsidR="00C246EC" w:rsidRPr="002644AE" w14:paraId="73057AD6" w14:textId="77777777" w:rsidTr="00CB68FA">
        <w:trPr>
          <w:jc w:val="center"/>
        </w:trPr>
        <w:tc>
          <w:tcPr>
            <w:tcW w:w="2494" w:type="dxa"/>
            <w:vMerge/>
            <w:shd w:val="clear" w:color="auto" w:fill="FFFFFF" w:themeFill="background1"/>
          </w:tcPr>
          <w:p w14:paraId="4DAA6EA0"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1E62CEB0"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 de Olivença</w:t>
            </w:r>
          </w:p>
        </w:tc>
        <w:tc>
          <w:tcPr>
            <w:tcW w:w="1134" w:type="dxa"/>
            <w:shd w:val="clear" w:color="auto" w:fill="FFFFFF" w:themeFill="background1"/>
          </w:tcPr>
          <w:p w14:paraId="4F9FF24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105.8</w:t>
            </w:r>
          </w:p>
        </w:tc>
        <w:tc>
          <w:tcPr>
            <w:tcW w:w="992" w:type="dxa"/>
            <w:shd w:val="clear" w:color="auto" w:fill="FFFFFF" w:themeFill="background1"/>
          </w:tcPr>
          <w:p w14:paraId="461D89E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86.3</w:t>
            </w:r>
          </w:p>
        </w:tc>
        <w:tc>
          <w:tcPr>
            <w:tcW w:w="1071" w:type="dxa"/>
            <w:shd w:val="clear" w:color="auto" w:fill="FFFFFF" w:themeFill="background1"/>
          </w:tcPr>
          <w:p w14:paraId="7640E23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20.6</w:t>
            </w:r>
          </w:p>
        </w:tc>
        <w:tc>
          <w:tcPr>
            <w:tcW w:w="992" w:type="dxa"/>
            <w:shd w:val="clear" w:color="auto" w:fill="FFFFFF" w:themeFill="background1"/>
          </w:tcPr>
          <w:p w14:paraId="3232929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10.2</w:t>
            </w:r>
          </w:p>
        </w:tc>
        <w:tc>
          <w:tcPr>
            <w:tcW w:w="1276" w:type="dxa"/>
            <w:gridSpan w:val="2"/>
            <w:shd w:val="clear" w:color="auto" w:fill="FFFFFF" w:themeFill="background1"/>
          </w:tcPr>
          <w:p w14:paraId="592EC9ED"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23.1</w:t>
            </w:r>
          </w:p>
        </w:tc>
      </w:tr>
      <w:tr w:rsidR="00C246EC" w:rsidRPr="002644AE" w14:paraId="1C2F9707" w14:textId="77777777" w:rsidTr="00CB68FA">
        <w:trPr>
          <w:jc w:val="center"/>
        </w:trPr>
        <w:tc>
          <w:tcPr>
            <w:tcW w:w="2494" w:type="dxa"/>
            <w:vMerge/>
            <w:shd w:val="clear" w:color="auto" w:fill="FFFFFF" w:themeFill="background1"/>
          </w:tcPr>
          <w:p w14:paraId="3446599B"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09E85E83" w14:textId="77777777" w:rsidR="00C246EC" w:rsidRPr="002644AE" w:rsidRDefault="00C246EC" w:rsidP="00CB68FA">
            <w:pPr>
              <w:spacing w:line="360" w:lineRule="auto"/>
              <w:rPr>
                <w:rFonts w:cs="Times New Roman"/>
                <w:sz w:val="20"/>
                <w:szCs w:val="20"/>
              </w:rPr>
            </w:pPr>
            <w:r w:rsidRPr="002644AE">
              <w:rPr>
                <w:rFonts w:cs="Times New Roman"/>
                <w:sz w:val="20"/>
                <w:szCs w:val="20"/>
              </w:rPr>
              <w:t>Tabatinga</w:t>
            </w:r>
          </w:p>
        </w:tc>
        <w:tc>
          <w:tcPr>
            <w:tcW w:w="1134" w:type="dxa"/>
            <w:shd w:val="clear" w:color="auto" w:fill="FFFFFF" w:themeFill="background1"/>
          </w:tcPr>
          <w:p w14:paraId="327E7AD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99.5</w:t>
            </w:r>
          </w:p>
        </w:tc>
        <w:tc>
          <w:tcPr>
            <w:tcW w:w="992" w:type="dxa"/>
            <w:shd w:val="clear" w:color="auto" w:fill="FFFFFF" w:themeFill="background1"/>
          </w:tcPr>
          <w:p w14:paraId="393B6D3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87.0</w:t>
            </w:r>
          </w:p>
        </w:tc>
        <w:tc>
          <w:tcPr>
            <w:tcW w:w="1071" w:type="dxa"/>
            <w:shd w:val="clear" w:color="auto" w:fill="FFFFFF" w:themeFill="background1"/>
          </w:tcPr>
          <w:p w14:paraId="37DA7C8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72.5</w:t>
            </w:r>
          </w:p>
        </w:tc>
        <w:tc>
          <w:tcPr>
            <w:tcW w:w="992" w:type="dxa"/>
            <w:shd w:val="clear" w:color="auto" w:fill="FFFFFF" w:themeFill="background1"/>
          </w:tcPr>
          <w:p w14:paraId="53E8FA5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63.9</w:t>
            </w:r>
          </w:p>
        </w:tc>
        <w:tc>
          <w:tcPr>
            <w:tcW w:w="1276" w:type="dxa"/>
            <w:gridSpan w:val="2"/>
            <w:shd w:val="clear" w:color="auto" w:fill="FFFFFF" w:themeFill="background1"/>
          </w:tcPr>
          <w:p w14:paraId="2BD81879"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51.8</w:t>
            </w:r>
          </w:p>
        </w:tc>
      </w:tr>
      <w:tr w:rsidR="00C246EC" w:rsidRPr="002644AE" w14:paraId="159E9590" w14:textId="77777777" w:rsidTr="00CB68FA">
        <w:trPr>
          <w:jc w:val="center"/>
        </w:trPr>
        <w:tc>
          <w:tcPr>
            <w:tcW w:w="2494" w:type="dxa"/>
            <w:vMerge/>
            <w:shd w:val="clear" w:color="auto" w:fill="FFFFFF" w:themeFill="background1"/>
          </w:tcPr>
          <w:p w14:paraId="68C19C71"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669B7E07"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w:t>
            </w:r>
          </w:p>
        </w:tc>
        <w:tc>
          <w:tcPr>
            <w:tcW w:w="1134" w:type="dxa"/>
            <w:shd w:val="clear" w:color="auto" w:fill="FFFFFF" w:themeFill="background1"/>
          </w:tcPr>
          <w:p w14:paraId="763ED0B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55.9</w:t>
            </w:r>
          </w:p>
        </w:tc>
        <w:tc>
          <w:tcPr>
            <w:tcW w:w="992" w:type="dxa"/>
            <w:shd w:val="clear" w:color="auto" w:fill="FFFFFF" w:themeFill="background1"/>
          </w:tcPr>
          <w:p w14:paraId="62DA1E8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76.0</w:t>
            </w:r>
          </w:p>
        </w:tc>
        <w:tc>
          <w:tcPr>
            <w:tcW w:w="1071" w:type="dxa"/>
            <w:shd w:val="clear" w:color="auto" w:fill="FFFFFF" w:themeFill="background1"/>
          </w:tcPr>
          <w:p w14:paraId="64D2DCD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69.2</w:t>
            </w:r>
          </w:p>
        </w:tc>
        <w:tc>
          <w:tcPr>
            <w:tcW w:w="992" w:type="dxa"/>
            <w:shd w:val="clear" w:color="auto" w:fill="FFFFFF" w:themeFill="background1"/>
          </w:tcPr>
          <w:p w14:paraId="086FFBB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63.0</w:t>
            </w:r>
          </w:p>
        </w:tc>
        <w:tc>
          <w:tcPr>
            <w:tcW w:w="1276" w:type="dxa"/>
            <w:gridSpan w:val="2"/>
            <w:shd w:val="clear" w:color="auto" w:fill="FFFFFF" w:themeFill="background1"/>
          </w:tcPr>
          <w:p w14:paraId="4B18E88F"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60.5</w:t>
            </w:r>
          </w:p>
        </w:tc>
      </w:tr>
      <w:tr w:rsidR="00C246EC" w:rsidRPr="002644AE" w14:paraId="280D46B6" w14:textId="77777777" w:rsidTr="00CB68FA">
        <w:trPr>
          <w:jc w:val="center"/>
        </w:trPr>
        <w:tc>
          <w:tcPr>
            <w:tcW w:w="2494" w:type="dxa"/>
            <w:vMerge/>
            <w:shd w:val="clear" w:color="auto" w:fill="FFFFFF" w:themeFill="background1"/>
          </w:tcPr>
          <w:p w14:paraId="7FDC6018"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445F6E0E" w14:textId="77777777" w:rsidR="00C246EC" w:rsidRPr="002644AE" w:rsidRDefault="00C246EC" w:rsidP="00CB68FA">
            <w:pPr>
              <w:spacing w:line="360" w:lineRule="auto"/>
              <w:rPr>
                <w:rFonts w:cs="Times New Roman"/>
                <w:sz w:val="20"/>
                <w:szCs w:val="20"/>
              </w:rPr>
            </w:pPr>
            <w:r w:rsidRPr="002644AE">
              <w:rPr>
                <w:rFonts w:cs="Times New Roman"/>
                <w:sz w:val="20"/>
                <w:szCs w:val="20"/>
              </w:rPr>
              <w:t>Santa Isabel do Rio Negro</w:t>
            </w:r>
          </w:p>
        </w:tc>
        <w:tc>
          <w:tcPr>
            <w:tcW w:w="1134" w:type="dxa"/>
            <w:shd w:val="clear" w:color="auto" w:fill="FFFFFF" w:themeFill="background1"/>
          </w:tcPr>
          <w:p w14:paraId="1C0DFA5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89.3</w:t>
            </w:r>
          </w:p>
        </w:tc>
        <w:tc>
          <w:tcPr>
            <w:tcW w:w="992" w:type="dxa"/>
            <w:shd w:val="clear" w:color="auto" w:fill="FFFFFF" w:themeFill="background1"/>
          </w:tcPr>
          <w:p w14:paraId="5F487FC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67.3</w:t>
            </w:r>
          </w:p>
        </w:tc>
        <w:tc>
          <w:tcPr>
            <w:tcW w:w="1071" w:type="dxa"/>
            <w:shd w:val="clear" w:color="auto" w:fill="FFFFFF" w:themeFill="background1"/>
          </w:tcPr>
          <w:p w14:paraId="7B5A5E9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39.2</w:t>
            </w:r>
          </w:p>
        </w:tc>
        <w:tc>
          <w:tcPr>
            <w:tcW w:w="992" w:type="dxa"/>
            <w:shd w:val="clear" w:color="auto" w:fill="FFFFFF" w:themeFill="background1"/>
          </w:tcPr>
          <w:p w14:paraId="54EB9F4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48.8</w:t>
            </w:r>
          </w:p>
        </w:tc>
        <w:tc>
          <w:tcPr>
            <w:tcW w:w="1276" w:type="dxa"/>
            <w:gridSpan w:val="2"/>
            <w:shd w:val="clear" w:color="auto" w:fill="FFFFFF" w:themeFill="background1"/>
          </w:tcPr>
          <w:p w14:paraId="6E4A00CA"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43.1</w:t>
            </w:r>
          </w:p>
        </w:tc>
      </w:tr>
      <w:tr w:rsidR="00C246EC" w:rsidRPr="002644AE" w14:paraId="2FD0E893" w14:textId="77777777" w:rsidTr="00CB68FA">
        <w:trPr>
          <w:jc w:val="center"/>
        </w:trPr>
        <w:tc>
          <w:tcPr>
            <w:tcW w:w="2494" w:type="dxa"/>
            <w:vMerge/>
            <w:shd w:val="clear" w:color="auto" w:fill="FFFFFF" w:themeFill="background1"/>
          </w:tcPr>
          <w:p w14:paraId="205E7B60"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63AFE1BF" w14:textId="77777777" w:rsidR="00C246EC" w:rsidRPr="002644AE" w:rsidRDefault="00C246EC" w:rsidP="00CB68FA">
            <w:pPr>
              <w:spacing w:line="360" w:lineRule="auto"/>
              <w:rPr>
                <w:rFonts w:cs="Times New Roman"/>
                <w:sz w:val="20"/>
                <w:szCs w:val="20"/>
              </w:rPr>
            </w:pPr>
            <w:r w:rsidRPr="002644AE">
              <w:rPr>
                <w:rFonts w:cs="Times New Roman"/>
                <w:sz w:val="20"/>
                <w:szCs w:val="20"/>
              </w:rPr>
              <w:t>Benjamin Constant</w:t>
            </w:r>
          </w:p>
        </w:tc>
        <w:tc>
          <w:tcPr>
            <w:tcW w:w="1134" w:type="dxa"/>
            <w:shd w:val="clear" w:color="auto" w:fill="FFFFFF" w:themeFill="background1"/>
          </w:tcPr>
          <w:p w14:paraId="6D744E5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101.0</w:t>
            </w:r>
          </w:p>
        </w:tc>
        <w:tc>
          <w:tcPr>
            <w:tcW w:w="992" w:type="dxa"/>
            <w:shd w:val="clear" w:color="auto" w:fill="FFFFFF" w:themeFill="background1"/>
          </w:tcPr>
          <w:p w14:paraId="21EEB71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114.8</w:t>
            </w:r>
          </w:p>
        </w:tc>
        <w:tc>
          <w:tcPr>
            <w:tcW w:w="1071" w:type="dxa"/>
            <w:shd w:val="clear" w:color="auto" w:fill="FFFFFF" w:themeFill="background1"/>
          </w:tcPr>
          <w:p w14:paraId="5DF3233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44.9</w:t>
            </w:r>
          </w:p>
        </w:tc>
        <w:tc>
          <w:tcPr>
            <w:tcW w:w="992" w:type="dxa"/>
            <w:shd w:val="clear" w:color="auto" w:fill="FFFFFF" w:themeFill="background1"/>
          </w:tcPr>
          <w:p w14:paraId="539A7C0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25.0</w:t>
            </w:r>
          </w:p>
        </w:tc>
        <w:tc>
          <w:tcPr>
            <w:tcW w:w="1276" w:type="dxa"/>
            <w:gridSpan w:val="2"/>
            <w:shd w:val="clear" w:color="auto" w:fill="FFFFFF" w:themeFill="background1"/>
          </w:tcPr>
          <w:p w14:paraId="6894CEDD"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34.9</w:t>
            </w:r>
          </w:p>
        </w:tc>
      </w:tr>
      <w:tr w:rsidR="00C246EC" w:rsidRPr="002644AE" w14:paraId="54D0F93E" w14:textId="77777777" w:rsidTr="00CB68FA">
        <w:trPr>
          <w:jc w:val="center"/>
        </w:trPr>
        <w:tc>
          <w:tcPr>
            <w:tcW w:w="2494" w:type="dxa"/>
            <w:vMerge/>
            <w:shd w:val="clear" w:color="auto" w:fill="FFFFFF" w:themeFill="background1"/>
          </w:tcPr>
          <w:p w14:paraId="7C7725A4"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01EC0768" w14:textId="77777777" w:rsidR="00C246EC" w:rsidRPr="002644AE" w:rsidRDefault="00C246EC" w:rsidP="00CB68FA">
            <w:pPr>
              <w:spacing w:line="360" w:lineRule="auto"/>
              <w:rPr>
                <w:rFonts w:cs="Times New Roman"/>
                <w:sz w:val="20"/>
                <w:szCs w:val="20"/>
              </w:rPr>
            </w:pPr>
            <w:r w:rsidRPr="002644AE">
              <w:rPr>
                <w:rFonts w:cs="Times New Roman"/>
                <w:sz w:val="20"/>
                <w:szCs w:val="20"/>
              </w:rPr>
              <w:t>Pesqueira</w:t>
            </w:r>
          </w:p>
        </w:tc>
        <w:tc>
          <w:tcPr>
            <w:tcW w:w="1134" w:type="dxa"/>
            <w:shd w:val="clear" w:color="auto" w:fill="FFFFFF" w:themeFill="background1"/>
          </w:tcPr>
          <w:p w14:paraId="56E4D9F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12.4</w:t>
            </w:r>
          </w:p>
        </w:tc>
        <w:tc>
          <w:tcPr>
            <w:tcW w:w="992" w:type="dxa"/>
            <w:shd w:val="clear" w:color="auto" w:fill="FFFFFF" w:themeFill="background1"/>
          </w:tcPr>
          <w:p w14:paraId="248A2FD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14.3</w:t>
            </w:r>
          </w:p>
        </w:tc>
        <w:tc>
          <w:tcPr>
            <w:tcW w:w="1071" w:type="dxa"/>
            <w:shd w:val="clear" w:color="auto" w:fill="FFFFFF" w:themeFill="background1"/>
          </w:tcPr>
          <w:p w14:paraId="6459756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30.2</w:t>
            </w:r>
          </w:p>
        </w:tc>
        <w:tc>
          <w:tcPr>
            <w:tcW w:w="992" w:type="dxa"/>
            <w:shd w:val="clear" w:color="auto" w:fill="FFFFFF" w:themeFill="background1"/>
          </w:tcPr>
          <w:p w14:paraId="56F9389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42.4</w:t>
            </w:r>
          </w:p>
        </w:tc>
        <w:tc>
          <w:tcPr>
            <w:tcW w:w="1276" w:type="dxa"/>
            <w:gridSpan w:val="2"/>
            <w:shd w:val="clear" w:color="auto" w:fill="FFFFFF" w:themeFill="background1"/>
          </w:tcPr>
          <w:p w14:paraId="31FD130F"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59.5</w:t>
            </w:r>
          </w:p>
        </w:tc>
      </w:tr>
      <w:tr w:rsidR="00C246EC" w:rsidRPr="002644AE" w14:paraId="03BE44E1" w14:textId="77777777" w:rsidTr="00CB68FA">
        <w:trPr>
          <w:jc w:val="center"/>
        </w:trPr>
        <w:tc>
          <w:tcPr>
            <w:tcW w:w="2494" w:type="dxa"/>
            <w:vMerge/>
            <w:shd w:val="clear" w:color="auto" w:fill="FFFFFF" w:themeFill="background1"/>
          </w:tcPr>
          <w:p w14:paraId="6FF6B4B5"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667F8740" w14:textId="77777777" w:rsidR="00C246EC" w:rsidRPr="002644AE" w:rsidRDefault="00C246EC" w:rsidP="00CB68FA">
            <w:pPr>
              <w:spacing w:line="360" w:lineRule="auto"/>
              <w:rPr>
                <w:rFonts w:cs="Times New Roman"/>
                <w:sz w:val="20"/>
                <w:szCs w:val="20"/>
              </w:rPr>
            </w:pPr>
            <w:r w:rsidRPr="002644AE">
              <w:rPr>
                <w:rFonts w:cs="Times New Roman"/>
                <w:sz w:val="20"/>
                <w:szCs w:val="20"/>
              </w:rPr>
              <w:t>Boa Vista</w:t>
            </w:r>
          </w:p>
        </w:tc>
        <w:tc>
          <w:tcPr>
            <w:tcW w:w="1134" w:type="dxa"/>
            <w:shd w:val="clear" w:color="auto" w:fill="FFFFFF" w:themeFill="background1"/>
          </w:tcPr>
          <w:p w14:paraId="45749A0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68.6</w:t>
            </w:r>
          </w:p>
        </w:tc>
        <w:tc>
          <w:tcPr>
            <w:tcW w:w="992" w:type="dxa"/>
            <w:shd w:val="clear" w:color="auto" w:fill="FFFFFF" w:themeFill="background1"/>
          </w:tcPr>
          <w:p w14:paraId="25471C4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80.5</w:t>
            </w:r>
          </w:p>
        </w:tc>
        <w:tc>
          <w:tcPr>
            <w:tcW w:w="1071" w:type="dxa"/>
            <w:shd w:val="clear" w:color="auto" w:fill="FFFFFF" w:themeFill="background1"/>
          </w:tcPr>
          <w:p w14:paraId="34156A3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54.9</w:t>
            </w:r>
          </w:p>
        </w:tc>
        <w:tc>
          <w:tcPr>
            <w:tcW w:w="992" w:type="dxa"/>
            <w:shd w:val="clear" w:color="auto" w:fill="FFFFFF" w:themeFill="background1"/>
          </w:tcPr>
          <w:p w14:paraId="3497F12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41.2</w:t>
            </w:r>
          </w:p>
        </w:tc>
        <w:tc>
          <w:tcPr>
            <w:tcW w:w="1276" w:type="dxa"/>
            <w:gridSpan w:val="2"/>
            <w:shd w:val="clear" w:color="auto" w:fill="FFFFFF" w:themeFill="background1"/>
          </w:tcPr>
          <w:p w14:paraId="440B6213"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44.3</w:t>
            </w:r>
          </w:p>
        </w:tc>
      </w:tr>
      <w:tr w:rsidR="00C246EC" w:rsidRPr="002644AE" w14:paraId="7FF1458A" w14:textId="77777777" w:rsidTr="00CB68FA">
        <w:trPr>
          <w:jc w:val="center"/>
        </w:trPr>
        <w:tc>
          <w:tcPr>
            <w:tcW w:w="2494" w:type="dxa"/>
            <w:vMerge/>
            <w:shd w:val="clear" w:color="auto" w:fill="FFFFFF" w:themeFill="background1"/>
          </w:tcPr>
          <w:p w14:paraId="35651447"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01C7A58A" w14:textId="77777777" w:rsidR="00C246EC" w:rsidRPr="002644AE" w:rsidRDefault="00C246EC" w:rsidP="00CB68FA">
            <w:pPr>
              <w:spacing w:line="360" w:lineRule="auto"/>
              <w:rPr>
                <w:rFonts w:cs="Times New Roman"/>
                <w:sz w:val="20"/>
                <w:szCs w:val="20"/>
              </w:rPr>
            </w:pPr>
            <w:r w:rsidRPr="002644AE">
              <w:rPr>
                <w:rFonts w:cs="Times New Roman"/>
                <w:sz w:val="20"/>
                <w:szCs w:val="20"/>
              </w:rPr>
              <w:t>Barcelos</w:t>
            </w:r>
          </w:p>
        </w:tc>
        <w:tc>
          <w:tcPr>
            <w:tcW w:w="1134" w:type="dxa"/>
            <w:shd w:val="clear" w:color="auto" w:fill="FFFFFF" w:themeFill="background1"/>
          </w:tcPr>
          <w:p w14:paraId="6326460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51.4</w:t>
            </w:r>
          </w:p>
        </w:tc>
        <w:tc>
          <w:tcPr>
            <w:tcW w:w="992" w:type="dxa"/>
            <w:shd w:val="clear" w:color="auto" w:fill="FFFFFF" w:themeFill="background1"/>
          </w:tcPr>
          <w:p w14:paraId="4E59121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41.4</w:t>
            </w:r>
          </w:p>
        </w:tc>
        <w:tc>
          <w:tcPr>
            <w:tcW w:w="1071" w:type="dxa"/>
            <w:shd w:val="clear" w:color="auto" w:fill="FFFFFF" w:themeFill="background1"/>
          </w:tcPr>
          <w:p w14:paraId="4A172EB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38.6</w:t>
            </w:r>
          </w:p>
        </w:tc>
        <w:tc>
          <w:tcPr>
            <w:tcW w:w="992" w:type="dxa"/>
            <w:shd w:val="clear" w:color="auto" w:fill="FFFFFF" w:themeFill="background1"/>
          </w:tcPr>
          <w:p w14:paraId="76688EE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21.9</w:t>
            </w:r>
          </w:p>
        </w:tc>
        <w:tc>
          <w:tcPr>
            <w:tcW w:w="1276" w:type="dxa"/>
            <w:gridSpan w:val="2"/>
            <w:shd w:val="clear" w:color="auto" w:fill="FFFFFF" w:themeFill="background1"/>
          </w:tcPr>
          <w:p w14:paraId="243E2A80"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22.7</w:t>
            </w:r>
          </w:p>
        </w:tc>
      </w:tr>
      <w:tr w:rsidR="00C246EC" w:rsidRPr="002644AE" w14:paraId="3BB2FA8A" w14:textId="77777777" w:rsidTr="00CB68FA">
        <w:trPr>
          <w:jc w:val="center"/>
        </w:trPr>
        <w:tc>
          <w:tcPr>
            <w:tcW w:w="2494" w:type="dxa"/>
            <w:vMerge/>
            <w:tcBorders>
              <w:bottom w:val="single" w:sz="12" w:space="0" w:color="auto"/>
            </w:tcBorders>
            <w:shd w:val="clear" w:color="auto" w:fill="FFFFFF" w:themeFill="background1"/>
          </w:tcPr>
          <w:p w14:paraId="6605C58D" w14:textId="77777777" w:rsidR="00C246EC" w:rsidRPr="002644AE" w:rsidRDefault="00C246EC" w:rsidP="00CB68FA">
            <w:pPr>
              <w:spacing w:line="360" w:lineRule="auto"/>
              <w:jc w:val="center"/>
              <w:rPr>
                <w:rFonts w:cs="Times New Roman"/>
                <w:sz w:val="20"/>
                <w:szCs w:val="20"/>
              </w:rPr>
            </w:pPr>
          </w:p>
        </w:tc>
        <w:tc>
          <w:tcPr>
            <w:tcW w:w="3523" w:type="dxa"/>
            <w:tcBorders>
              <w:bottom w:val="single" w:sz="12" w:space="0" w:color="auto"/>
            </w:tcBorders>
            <w:shd w:val="clear" w:color="auto" w:fill="FFFFFF" w:themeFill="background1"/>
          </w:tcPr>
          <w:p w14:paraId="0678AD55" w14:textId="77777777" w:rsidR="00C246EC" w:rsidRPr="002644AE" w:rsidRDefault="00C246EC" w:rsidP="00CB68FA">
            <w:pPr>
              <w:spacing w:line="360" w:lineRule="auto"/>
              <w:rPr>
                <w:rFonts w:cs="Times New Roman"/>
                <w:sz w:val="20"/>
                <w:szCs w:val="20"/>
              </w:rPr>
            </w:pPr>
            <w:r w:rsidRPr="002644AE">
              <w:rPr>
                <w:rFonts w:cs="Times New Roman"/>
                <w:sz w:val="20"/>
                <w:szCs w:val="20"/>
              </w:rPr>
              <w:t>São João das Missões</w:t>
            </w:r>
          </w:p>
        </w:tc>
        <w:tc>
          <w:tcPr>
            <w:tcW w:w="1134" w:type="dxa"/>
            <w:tcBorders>
              <w:bottom w:val="single" w:sz="12" w:space="0" w:color="auto"/>
            </w:tcBorders>
            <w:shd w:val="clear" w:color="auto" w:fill="FFFFFF" w:themeFill="background1"/>
          </w:tcPr>
          <w:p w14:paraId="5E9E5A1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92.6</w:t>
            </w:r>
          </w:p>
        </w:tc>
        <w:tc>
          <w:tcPr>
            <w:tcW w:w="992" w:type="dxa"/>
            <w:tcBorders>
              <w:bottom w:val="single" w:sz="12" w:space="0" w:color="auto"/>
            </w:tcBorders>
            <w:shd w:val="clear" w:color="auto" w:fill="FFFFFF" w:themeFill="background1"/>
          </w:tcPr>
          <w:p w14:paraId="7BF1FCE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115.1</w:t>
            </w:r>
          </w:p>
        </w:tc>
        <w:tc>
          <w:tcPr>
            <w:tcW w:w="1071" w:type="dxa"/>
            <w:tcBorders>
              <w:bottom w:val="single" w:sz="12" w:space="0" w:color="auto"/>
            </w:tcBorders>
            <w:shd w:val="clear" w:color="auto" w:fill="FFFFFF" w:themeFill="background1"/>
          </w:tcPr>
          <w:p w14:paraId="0D7F91F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100.4</w:t>
            </w:r>
          </w:p>
        </w:tc>
        <w:tc>
          <w:tcPr>
            <w:tcW w:w="992" w:type="dxa"/>
            <w:tcBorders>
              <w:bottom w:val="single" w:sz="12" w:space="0" w:color="auto"/>
            </w:tcBorders>
            <w:shd w:val="clear" w:color="auto" w:fill="FFFFFF" w:themeFill="background1"/>
          </w:tcPr>
          <w:p w14:paraId="720E9F97"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73.6</w:t>
            </w:r>
          </w:p>
        </w:tc>
        <w:tc>
          <w:tcPr>
            <w:tcW w:w="1276" w:type="dxa"/>
            <w:gridSpan w:val="2"/>
            <w:tcBorders>
              <w:bottom w:val="single" w:sz="12" w:space="0" w:color="auto"/>
            </w:tcBorders>
            <w:shd w:val="clear" w:color="auto" w:fill="FFFFFF" w:themeFill="background1"/>
          </w:tcPr>
          <w:p w14:paraId="360D6A47"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50.4</w:t>
            </w:r>
          </w:p>
        </w:tc>
      </w:tr>
      <w:tr w:rsidR="00C246EC" w:rsidRPr="002644AE" w14:paraId="0B20B2A7" w14:textId="77777777" w:rsidTr="00CB68FA">
        <w:trPr>
          <w:jc w:val="center"/>
        </w:trPr>
        <w:tc>
          <w:tcPr>
            <w:tcW w:w="2494" w:type="dxa"/>
            <w:vMerge w:val="restart"/>
            <w:tcBorders>
              <w:top w:val="single" w:sz="12" w:space="0" w:color="auto"/>
            </w:tcBorders>
            <w:shd w:val="clear" w:color="auto" w:fill="FFFFFF" w:themeFill="background1"/>
          </w:tcPr>
          <w:p w14:paraId="5C424451" w14:textId="77777777" w:rsidR="00C246EC" w:rsidRPr="002644AE" w:rsidRDefault="00C246EC" w:rsidP="00CB68FA">
            <w:pPr>
              <w:spacing w:line="360" w:lineRule="auto"/>
              <w:jc w:val="center"/>
              <w:rPr>
                <w:rFonts w:cs="Times New Roman"/>
                <w:sz w:val="20"/>
                <w:szCs w:val="20"/>
              </w:rPr>
            </w:pPr>
          </w:p>
          <w:p w14:paraId="7543BC80" w14:textId="77777777" w:rsidR="00C246EC" w:rsidRPr="002644AE" w:rsidRDefault="00C246EC" w:rsidP="00CB68FA">
            <w:pPr>
              <w:spacing w:line="360" w:lineRule="auto"/>
              <w:jc w:val="center"/>
              <w:rPr>
                <w:rFonts w:cs="Times New Roman"/>
                <w:sz w:val="20"/>
                <w:szCs w:val="20"/>
              </w:rPr>
            </w:pPr>
          </w:p>
          <w:p w14:paraId="42A37BFA" w14:textId="77777777" w:rsidR="00C246EC" w:rsidRPr="002644AE" w:rsidRDefault="00C246EC" w:rsidP="00CB68FA">
            <w:pPr>
              <w:spacing w:line="360" w:lineRule="auto"/>
              <w:jc w:val="center"/>
              <w:rPr>
                <w:rFonts w:cs="Times New Roman"/>
                <w:sz w:val="20"/>
                <w:szCs w:val="20"/>
              </w:rPr>
            </w:pPr>
          </w:p>
          <w:p w14:paraId="14D7FADE" w14:textId="77777777" w:rsidR="00C246EC" w:rsidRPr="002644AE" w:rsidRDefault="00C246EC" w:rsidP="00CB68FA">
            <w:pPr>
              <w:spacing w:line="360" w:lineRule="auto"/>
              <w:jc w:val="center"/>
              <w:rPr>
                <w:rFonts w:cs="Times New Roman"/>
                <w:sz w:val="20"/>
                <w:szCs w:val="20"/>
              </w:rPr>
            </w:pPr>
          </w:p>
          <w:p w14:paraId="3CBFD058" w14:textId="77777777" w:rsidR="00C246EC" w:rsidRPr="002644AE" w:rsidRDefault="00C246EC" w:rsidP="00443611">
            <w:pPr>
              <w:spacing w:line="360" w:lineRule="auto"/>
              <w:rPr>
                <w:rFonts w:cs="Times New Roman"/>
                <w:sz w:val="20"/>
                <w:szCs w:val="20"/>
              </w:rPr>
            </w:pPr>
            <w:r w:rsidRPr="002644AE">
              <w:rPr>
                <w:rFonts w:cs="Times New Roman"/>
                <w:sz w:val="20"/>
                <w:szCs w:val="20"/>
              </w:rPr>
              <w:t>PCV10</w:t>
            </w:r>
          </w:p>
        </w:tc>
        <w:tc>
          <w:tcPr>
            <w:tcW w:w="3523" w:type="dxa"/>
            <w:tcBorders>
              <w:top w:val="single" w:sz="12" w:space="0" w:color="auto"/>
            </w:tcBorders>
            <w:shd w:val="clear" w:color="auto" w:fill="FFFFFF" w:themeFill="background1"/>
          </w:tcPr>
          <w:p w14:paraId="25A89491" w14:textId="77777777" w:rsidR="00C246EC" w:rsidRPr="002644AE" w:rsidRDefault="00C246EC" w:rsidP="00CB68FA">
            <w:pPr>
              <w:spacing w:line="360" w:lineRule="auto"/>
              <w:rPr>
                <w:rFonts w:cs="Times New Roman"/>
                <w:sz w:val="20"/>
                <w:szCs w:val="20"/>
              </w:rPr>
            </w:pPr>
            <w:r w:rsidRPr="002644AE">
              <w:rPr>
                <w:rFonts w:cs="Times New Roman"/>
                <w:sz w:val="20"/>
                <w:szCs w:val="20"/>
              </w:rPr>
              <w:t>São Gabriel da Cachoeira</w:t>
            </w:r>
          </w:p>
        </w:tc>
        <w:tc>
          <w:tcPr>
            <w:tcW w:w="1134" w:type="dxa"/>
            <w:tcBorders>
              <w:top w:val="single" w:sz="12" w:space="0" w:color="auto"/>
            </w:tcBorders>
            <w:shd w:val="clear" w:color="auto" w:fill="FFFFFF" w:themeFill="background1"/>
          </w:tcPr>
          <w:p w14:paraId="4F5834E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106.4</w:t>
            </w:r>
          </w:p>
        </w:tc>
        <w:tc>
          <w:tcPr>
            <w:tcW w:w="992" w:type="dxa"/>
            <w:tcBorders>
              <w:top w:val="single" w:sz="12" w:space="0" w:color="auto"/>
            </w:tcBorders>
            <w:shd w:val="clear" w:color="auto" w:fill="FFFFFF" w:themeFill="background1"/>
          </w:tcPr>
          <w:p w14:paraId="05F32F0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118.9</w:t>
            </w:r>
          </w:p>
        </w:tc>
        <w:tc>
          <w:tcPr>
            <w:tcW w:w="1071" w:type="dxa"/>
            <w:tcBorders>
              <w:top w:val="single" w:sz="12" w:space="0" w:color="auto"/>
            </w:tcBorders>
            <w:shd w:val="clear" w:color="auto" w:fill="FFFFFF" w:themeFill="background1"/>
          </w:tcPr>
          <w:p w14:paraId="5D61067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46.3</w:t>
            </w:r>
          </w:p>
        </w:tc>
        <w:tc>
          <w:tcPr>
            <w:tcW w:w="992" w:type="dxa"/>
            <w:tcBorders>
              <w:top w:val="single" w:sz="12" w:space="0" w:color="auto"/>
            </w:tcBorders>
            <w:shd w:val="clear" w:color="auto" w:fill="FFFFFF" w:themeFill="background1"/>
          </w:tcPr>
          <w:p w14:paraId="6E4145D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38.0</w:t>
            </w:r>
          </w:p>
        </w:tc>
        <w:tc>
          <w:tcPr>
            <w:tcW w:w="1276" w:type="dxa"/>
            <w:gridSpan w:val="2"/>
            <w:tcBorders>
              <w:top w:val="single" w:sz="12" w:space="0" w:color="auto"/>
            </w:tcBorders>
            <w:shd w:val="clear" w:color="auto" w:fill="FFFFFF" w:themeFill="background1"/>
          </w:tcPr>
          <w:p w14:paraId="59221230"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43.7</w:t>
            </w:r>
          </w:p>
        </w:tc>
      </w:tr>
      <w:tr w:rsidR="00C246EC" w:rsidRPr="002644AE" w14:paraId="1CD5700C" w14:textId="77777777" w:rsidTr="00CB68FA">
        <w:trPr>
          <w:jc w:val="center"/>
        </w:trPr>
        <w:tc>
          <w:tcPr>
            <w:tcW w:w="2494" w:type="dxa"/>
            <w:vMerge/>
            <w:shd w:val="clear" w:color="auto" w:fill="FFFFFF" w:themeFill="background1"/>
          </w:tcPr>
          <w:p w14:paraId="007263C6"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3F6A51C3"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 de Olivença</w:t>
            </w:r>
          </w:p>
        </w:tc>
        <w:tc>
          <w:tcPr>
            <w:tcW w:w="1134" w:type="dxa"/>
            <w:shd w:val="clear" w:color="auto" w:fill="FFFFFF" w:themeFill="background1"/>
          </w:tcPr>
          <w:p w14:paraId="6CCF6D7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110.3</w:t>
            </w:r>
          </w:p>
        </w:tc>
        <w:tc>
          <w:tcPr>
            <w:tcW w:w="992" w:type="dxa"/>
            <w:shd w:val="clear" w:color="auto" w:fill="FFFFFF" w:themeFill="background1"/>
          </w:tcPr>
          <w:p w14:paraId="6CA792C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97.0</w:t>
            </w:r>
          </w:p>
        </w:tc>
        <w:tc>
          <w:tcPr>
            <w:tcW w:w="1071" w:type="dxa"/>
            <w:shd w:val="clear" w:color="auto" w:fill="FFFFFF" w:themeFill="background1"/>
          </w:tcPr>
          <w:p w14:paraId="73B68B4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31.1</w:t>
            </w:r>
          </w:p>
        </w:tc>
        <w:tc>
          <w:tcPr>
            <w:tcW w:w="992" w:type="dxa"/>
            <w:shd w:val="clear" w:color="auto" w:fill="FFFFFF" w:themeFill="background1"/>
          </w:tcPr>
          <w:p w14:paraId="3D09D21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18.1</w:t>
            </w:r>
          </w:p>
        </w:tc>
        <w:tc>
          <w:tcPr>
            <w:tcW w:w="1276" w:type="dxa"/>
            <w:gridSpan w:val="2"/>
            <w:shd w:val="clear" w:color="auto" w:fill="FFFFFF" w:themeFill="background1"/>
          </w:tcPr>
          <w:p w14:paraId="3CCCEE0E"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29.6</w:t>
            </w:r>
          </w:p>
        </w:tc>
      </w:tr>
      <w:tr w:rsidR="00C246EC" w:rsidRPr="002644AE" w14:paraId="5F40A0BF" w14:textId="77777777" w:rsidTr="00CB68FA">
        <w:trPr>
          <w:jc w:val="center"/>
        </w:trPr>
        <w:tc>
          <w:tcPr>
            <w:tcW w:w="2494" w:type="dxa"/>
            <w:vMerge/>
            <w:shd w:val="clear" w:color="auto" w:fill="FFFFFF" w:themeFill="background1"/>
          </w:tcPr>
          <w:p w14:paraId="4338317C"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5DCF3391" w14:textId="77777777" w:rsidR="00C246EC" w:rsidRPr="002644AE" w:rsidRDefault="00C246EC" w:rsidP="00CB68FA">
            <w:pPr>
              <w:spacing w:line="360" w:lineRule="auto"/>
              <w:rPr>
                <w:rFonts w:cs="Times New Roman"/>
                <w:sz w:val="20"/>
                <w:szCs w:val="20"/>
              </w:rPr>
            </w:pPr>
            <w:r w:rsidRPr="002644AE">
              <w:rPr>
                <w:rFonts w:cs="Times New Roman"/>
                <w:sz w:val="20"/>
                <w:szCs w:val="20"/>
              </w:rPr>
              <w:t>Tabatinga</w:t>
            </w:r>
          </w:p>
        </w:tc>
        <w:tc>
          <w:tcPr>
            <w:tcW w:w="1134" w:type="dxa"/>
            <w:shd w:val="clear" w:color="auto" w:fill="FFFFFF" w:themeFill="background1"/>
          </w:tcPr>
          <w:p w14:paraId="70FA337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88.3</w:t>
            </w:r>
          </w:p>
        </w:tc>
        <w:tc>
          <w:tcPr>
            <w:tcW w:w="992" w:type="dxa"/>
            <w:shd w:val="clear" w:color="auto" w:fill="FFFFFF" w:themeFill="background1"/>
          </w:tcPr>
          <w:p w14:paraId="49963F3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92.7</w:t>
            </w:r>
          </w:p>
        </w:tc>
        <w:tc>
          <w:tcPr>
            <w:tcW w:w="1071" w:type="dxa"/>
            <w:shd w:val="clear" w:color="auto" w:fill="FFFFFF" w:themeFill="background1"/>
          </w:tcPr>
          <w:p w14:paraId="2404F8A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85.7</w:t>
            </w:r>
          </w:p>
        </w:tc>
        <w:tc>
          <w:tcPr>
            <w:tcW w:w="992" w:type="dxa"/>
            <w:shd w:val="clear" w:color="auto" w:fill="FFFFFF" w:themeFill="background1"/>
          </w:tcPr>
          <w:p w14:paraId="6DC4E5C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75.1</w:t>
            </w:r>
          </w:p>
        </w:tc>
        <w:tc>
          <w:tcPr>
            <w:tcW w:w="1276" w:type="dxa"/>
            <w:gridSpan w:val="2"/>
            <w:shd w:val="clear" w:color="auto" w:fill="FFFFFF" w:themeFill="background1"/>
          </w:tcPr>
          <w:p w14:paraId="35B0EB53"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72.3</w:t>
            </w:r>
          </w:p>
        </w:tc>
      </w:tr>
      <w:tr w:rsidR="00C246EC" w:rsidRPr="002644AE" w14:paraId="6041587F" w14:textId="77777777" w:rsidTr="00CB68FA">
        <w:trPr>
          <w:jc w:val="center"/>
        </w:trPr>
        <w:tc>
          <w:tcPr>
            <w:tcW w:w="2494" w:type="dxa"/>
            <w:vMerge/>
            <w:shd w:val="clear" w:color="auto" w:fill="FFFFFF" w:themeFill="background1"/>
          </w:tcPr>
          <w:p w14:paraId="4D63B82C"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059D4256" w14:textId="77777777" w:rsidR="00C246EC" w:rsidRPr="002644AE" w:rsidRDefault="00C246EC" w:rsidP="00CB68FA">
            <w:pPr>
              <w:spacing w:line="360" w:lineRule="auto"/>
              <w:rPr>
                <w:rFonts w:cs="Times New Roman"/>
                <w:sz w:val="20"/>
                <w:szCs w:val="20"/>
              </w:rPr>
            </w:pPr>
            <w:r w:rsidRPr="002644AE">
              <w:rPr>
                <w:rFonts w:cs="Times New Roman"/>
                <w:sz w:val="20"/>
                <w:szCs w:val="20"/>
              </w:rPr>
              <w:t>São Paulo</w:t>
            </w:r>
          </w:p>
        </w:tc>
        <w:tc>
          <w:tcPr>
            <w:tcW w:w="1134" w:type="dxa"/>
            <w:shd w:val="clear" w:color="auto" w:fill="FFFFFF" w:themeFill="background1"/>
          </w:tcPr>
          <w:p w14:paraId="7D06824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94.3</w:t>
            </w:r>
          </w:p>
        </w:tc>
        <w:tc>
          <w:tcPr>
            <w:tcW w:w="992" w:type="dxa"/>
            <w:shd w:val="clear" w:color="auto" w:fill="FFFFFF" w:themeFill="background1"/>
          </w:tcPr>
          <w:p w14:paraId="7DBFED7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87.7</w:t>
            </w:r>
          </w:p>
        </w:tc>
        <w:tc>
          <w:tcPr>
            <w:tcW w:w="1071" w:type="dxa"/>
            <w:shd w:val="clear" w:color="auto" w:fill="FFFFFF" w:themeFill="background1"/>
          </w:tcPr>
          <w:p w14:paraId="4706308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76.8</w:t>
            </w:r>
          </w:p>
        </w:tc>
        <w:tc>
          <w:tcPr>
            <w:tcW w:w="992" w:type="dxa"/>
            <w:shd w:val="clear" w:color="auto" w:fill="FFFFFF" w:themeFill="background1"/>
          </w:tcPr>
          <w:p w14:paraId="5380380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68.7</w:t>
            </w:r>
          </w:p>
        </w:tc>
        <w:tc>
          <w:tcPr>
            <w:tcW w:w="1276" w:type="dxa"/>
            <w:gridSpan w:val="2"/>
            <w:shd w:val="clear" w:color="auto" w:fill="FFFFFF" w:themeFill="background1"/>
          </w:tcPr>
          <w:p w14:paraId="78F16875"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67.9</w:t>
            </w:r>
          </w:p>
        </w:tc>
      </w:tr>
      <w:tr w:rsidR="00C246EC" w:rsidRPr="002644AE" w14:paraId="3DF14627" w14:textId="77777777" w:rsidTr="00CB68FA">
        <w:trPr>
          <w:jc w:val="center"/>
        </w:trPr>
        <w:tc>
          <w:tcPr>
            <w:tcW w:w="2494" w:type="dxa"/>
            <w:vMerge/>
            <w:shd w:val="clear" w:color="auto" w:fill="FFFFFF" w:themeFill="background1"/>
          </w:tcPr>
          <w:p w14:paraId="45ECF40D"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2E5B707D" w14:textId="77777777" w:rsidR="00C246EC" w:rsidRPr="002644AE" w:rsidRDefault="00C246EC" w:rsidP="00CB68FA">
            <w:pPr>
              <w:spacing w:line="360" w:lineRule="auto"/>
              <w:rPr>
                <w:rFonts w:cs="Times New Roman"/>
                <w:sz w:val="20"/>
                <w:szCs w:val="20"/>
              </w:rPr>
            </w:pPr>
            <w:r w:rsidRPr="002644AE">
              <w:rPr>
                <w:rFonts w:cs="Times New Roman"/>
                <w:sz w:val="20"/>
                <w:szCs w:val="20"/>
              </w:rPr>
              <w:t>Santa Isabel do Rio Negro</w:t>
            </w:r>
          </w:p>
        </w:tc>
        <w:tc>
          <w:tcPr>
            <w:tcW w:w="1134" w:type="dxa"/>
            <w:shd w:val="clear" w:color="auto" w:fill="FFFFFF" w:themeFill="background1"/>
          </w:tcPr>
          <w:p w14:paraId="04F7361E"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104.0</w:t>
            </w:r>
          </w:p>
        </w:tc>
        <w:tc>
          <w:tcPr>
            <w:tcW w:w="992" w:type="dxa"/>
            <w:shd w:val="clear" w:color="auto" w:fill="FFFFFF" w:themeFill="background1"/>
          </w:tcPr>
          <w:p w14:paraId="1AE3D40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86.0</w:t>
            </w:r>
          </w:p>
        </w:tc>
        <w:tc>
          <w:tcPr>
            <w:tcW w:w="1071" w:type="dxa"/>
            <w:shd w:val="clear" w:color="auto" w:fill="FFFFFF" w:themeFill="background1"/>
          </w:tcPr>
          <w:p w14:paraId="314A9E3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63.0</w:t>
            </w:r>
          </w:p>
        </w:tc>
        <w:tc>
          <w:tcPr>
            <w:tcW w:w="992" w:type="dxa"/>
            <w:shd w:val="clear" w:color="auto" w:fill="FFFFFF" w:themeFill="background1"/>
          </w:tcPr>
          <w:p w14:paraId="16A44CE5"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71.1</w:t>
            </w:r>
          </w:p>
        </w:tc>
        <w:tc>
          <w:tcPr>
            <w:tcW w:w="1276" w:type="dxa"/>
            <w:gridSpan w:val="2"/>
            <w:shd w:val="clear" w:color="auto" w:fill="FFFFFF" w:themeFill="background1"/>
          </w:tcPr>
          <w:p w14:paraId="3826A769"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63.7</w:t>
            </w:r>
          </w:p>
        </w:tc>
      </w:tr>
      <w:tr w:rsidR="00C246EC" w:rsidRPr="002644AE" w14:paraId="2F0BB8C7" w14:textId="77777777" w:rsidTr="00CB68FA">
        <w:trPr>
          <w:jc w:val="center"/>
        </w:trPr>
        <w:tc>
          <w:tcPr>
            <w:tcW w:w="2494" w:type="dxa"/>
            <w:vMerge/>
            <w:shd w:val="clear" w:color="auto" w:fill="FFFFFF" w:themeFill="background1"/>
          </w:tcPr>
          <w:p w14:paraId="6C1D2C4B"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36392931" w14:textId="77777777" w:rsidR="00C246EC" w:rsidRPr="002644AE" w:rsidRDefault="00C246EC" w:rsidP="00CB68FA">
            <w:pPr>
              <w:spacing w:line="360" w:lineRule="auto"/>
              <w:rPr>
                <w:rFonts w:cs="Times New Roman"/>
                <w:sz w:val="20"/>
                <w:szCs w:val="20"/>
              </w:rPr>
            </w:pPr>
            <w:r w:rsidRPr="002644AE">
              <w:rPr>
                <w:rFonts w:cs="Times New Roman"/>
                <w:sz w:val="20"/>
                <w:szCs w:val="20"/>
              </w:rPr>
              <w:t>Benjamin Constant</w:t>
            </w:r>
          </w:p>
        </w:tc>
        <w:tc>
          <w:tcPr>
            <w:tcW w:w="1134" w:type="dxa"/>
            <w:shd w:val="clear" w:color="auto" w:fill="FFFFFF" w:themeFill="background1"/>
          </w:tcPr>
          <w:p w14:paraId="49EDFEA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98.3</w:t>
            </w:r>
          </w:p>
        </w:tc>
        <w:tc>
          <w:tcPr>
            <w:tcW w:w="992" w:type="dxa"/>
            <w:shd w:val="clear" w:color="auto" w:fill="FFFFFF" w:themeFill="background1"/>
          </w:tcPr>
          <w:p w14:paraId="4A4F8CA2"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120.3</w:t>
            </w:r>
          </w:p>
        </w:tc>
        <w:tc>
          <w:tcPr>
            <w:tcW w:w="1071" w:type="dxa"/>
            <w:shd w:val="clear" w:color="auto" w:fill="FFFFFF" w:themeFill="background1"/>
          </w:tcPr>
          <w:p w14:paraId="68D30AA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52.3</w:t>
            </w:r>
          </w:p>
        </w:tc>
        <w:tc>
          <w:tcPr>
            <w:tcW w:w="992" w:type="dxa"/>
            <w:shd w:val="clear" w:color="auto" w:fill="FFFFFF" w:themeFill="background1"/>
          </w:tcPr>
          <w:p w14:paraId="034B8BE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35.7</w:t>
            </w:r>
          </w:p>
        </w:tc>
        <w:tc>
          <w:tcPr>
            <w:tcW w:w="1276" w:type="dxa"/>
            <w:gridSpan w:val="2"/>
            <w:shd w:val="clear" w:color="auto" w:fill="FFFFFF" w:themeFill="background1"/>
          </w:tcPr>
          <w:p w14:paraId="04439084"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39.9</w:t>
            </w:r>
          </w:p>
        </w:tc>
      </w:tr>
      <w:tr w:rsidR="00C246EC" w:rsidRPr="002644AE" w14:paraId="3D466DF5" w14:textId="77777777" w:rsidTr="00CB68FA">
        <w:trPr>
          <w:jc w:val="center"/>
        </w:trPr>
        <w:tc>
          <w:tcPr>
            <w:tcW w:w="2494" w:type="dxa"/>
            <w:vMerge/>
            <w:shd w:val="clear" w:color="auto" w:fill="FFFFFF" w:themeFill="background1"/>
          </w:tcPr>
          <w:p w14:paraId="6FBC63D3"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294E99CA" w14:textId="77777777" w:rsidR="00C246EC" w:rsidRPr="002644AE" w:rsidRDefault="00C246EC" w:rsidP="00CB68FA">
            <w:pPr>
              <w:spacing w:line="360" w:lineRule="auto"/>
              <w:rPr>
                <w:rFonts w:cs="Times New Roman"/>
                <w:sz w:val="20"/>
                <w:szCs w:val="20"/>
              </w:rPr>
            </w:pPr>
            <w:r w:rsidRPr="002644AE">
              <w:rPr>
                <w:rFonts w:cs="Times New Roman"/>
                <w:sz w:val="20"/>
                <w:szCs w:val="20"/>
              </w:rPr>
              <w:t>Pesqueira</w:t>
            </w:r>
          </w:p>
        </w:tc>
        <w:tc>
          <w:tcPr>
            <w:tcW w:w="1134" w:type="dxa"/>
            <w:shd w:val="clear" w:color="auto" w:fill="FFFFFF" w:themeFill="background1"/>
          </w:tcPr>
          <w:p w14:paraId="476EAD7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110.3</w:t>
            </w:r>
          </w:p>
        </w:tc>
        <w:tc>
          <w:tcPr>
            <w:tcW w:w="992" w:type="dxa"/>
            <w:shd w:val="clear" w:color="auto" w:fill="FFFFFF" w:themeFill="background1"/>
          </w:tcPr>
          <w:p w14:paraId="7C020C0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95.2</w:t>
            </w:r>
          </w:p>
        </w:tc>
        <w:tc>
          <w:tcPr>
            <w:tcW w:w="1071" w:type="dxa"/>
            <w:shd w:val="clear" w:color="auto" w:fill="FFFFFF" w:themeFill="background1"/>
          </w:tcPr>
          <w:p w14:paraId="7593E877"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58.1</w:t>
            </w:r>
          </w:p>
        </w:tc>
        <w:tc>
          <w:tcPr>
            <w:tcW w:w="992" w:type="dxa"/>
            <w:shd w:val="clear" w:color="auto" w:fill="FFFFFF" w:themeFill="background1"/>
          </w:tcPr>
          <w:p w14:paraId="464A168A"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63.7</w:t>
            </w:r>
          </w:p>
        </w:tc>
        <w:tc>
          <w:tcPr>
            <w:tcW w:w="1276" w:type="dxa"/>
            <w:gridSpan w:val="2"/>
            <w:shd w:val="clear" w:color="auto" w:fill="FFFFFF" w:themeFill="background1"/>
          </w:tcPr>
          <w:p w14:paraId="234F88F9"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75.9</w:t>
            </w:r>
          </w:p>
        </w:tc>
      </w:tr>
      <w:tr w:rsidR="00C246EC" w:rsidRPr="002644AE" w14:paraId="6B498A46" w14:textId="77777777" w:rsidTr="00CB68FA">
        <w:trPr>
          <w:jc w:val="center"/>
        </w:trPr>
        <w:tc>
          <w:tcPr>
            <w:tcW w:w="2494" w:type="dxa"/>
            <w:vMerge/>
            <w:shd w:val="clear" w:color="auto" w:fill="FFFFFF" w:themeFill="background1"/>
          </w:tcPr>
          <w:p w14:paraId="51F51E01"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438CE993" w14:textId="77777777" w:rsidR="00C246EC" w:rsidRPr="002644AE" w:rsidRDefault="00C246EC" w:rsidP="00CB68FA">
            <w:pPr>
              <w:spacing w:line="360" w:lineRule="auto"/>
              <w:rPr>
                <w:rFonts w:cs="Times New Roman"/>
                <w:sz w:val="20"/>
                <w:szCs w:val="20"/>
              </w:rPr>
            </w:pPr>
            <w:r w:rsidRPr="002644AE">
              <w:rPr>
                <w:rFonts w:cs="Times New Roman"/>
                <w:sz w:val="20"/>
                <w:szCs w:val="20"/>
              </w:rPr>
              <w:t>Boa Vista</w:t>
            </w:r>
          </w:p>
        </w:tc>
        <w:tc>
          <w:tcPr>
            <w:tcW w:w="1134" w:type="dxa"/>
            <w:shd w:val="clear" w:color="auto" w:fill="FFFFFF" w:themeFill="background1"/>
          </w:tcPr>
          <w:p w14:paraId="0FE984BF"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88.7</w:t>
            </w:r>
          </w:p>
        </w:tc>
        <w:tc>
          <w:tcPr>
            <w:tcW w:w="992" w:type="dxa"/>
            <w:shd w:val="clear" w:color="auto" w:fill="FFFFFF" w:themeFill="background1"/>
          </w:tcPr>
          <w:p w14:paraId="0C964CC9"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105.2</w:t>
            </w:r>
          </w:p>
        </w:tc>
        <w:tc>
          <w:tcPr>
            <w:tcW w:w="1071" w:type="dxa"/>
            <w:shd w:val="clear" w:color="auto" w:fill="FFFFFF" w:themeFill="background1"/>
          </w:tcPr>
          <w:p w14:paraId="7D0C73B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102.3</w:t>
            </w:r>
          </w:p>
        </w:tc>
        <w:tc>
          <w:tcPr>
            <w:tcW w:w="992" w:type="dxa"/>
            <w:shd w:val="clear" w:color="auto" w:fill="FFFFFF" w:themeFill="background1"/>
          </w:tcPr>
          <w:p w14:paraId="61C106C1"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67.3</w:t>
            </w:r>
          </w:p>
        </w:tc>
        <w:tc>
          <w:tcPr>
            <w:tcW w:w="1276" w:type="dxa"/>
            <w:gridSpan w:val="2"/>
            <w:shd w:val="clear" w:color="auto" w:fill="FFFFFF" w:themeFill="background1"/>
          </w:tcPr>
          <w:p w14:paraId="452D05EF"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74.8</w:t>
            </w:r>
          </w:p>
        </w:tc>
      </w:tr>
      <w:tr w:rsidR="00C246EC" w:rsidRPr="002644AE" w14:paraId="3C3A51BD" w14:textId="77777777" w:rsidTr="00CB68FA">
        <w:trPr>
          <w:jc w:val="center"/>
        </w:trPr>
        <w:tc>
          <w:tcPr>
            <w:tcW w:w="2494" w:type="dxa"/>
            <w:vMerge/>
            <w:shd w:val="clear" w:color="auto" w:fill="FFFFFF" w:themeFill="background1"/>
          </w:tcPr>
          <w:p w14:paraId="7F4A8135" w14:textId="77777777" w:rsidR="00C246EC" w:rsidRPr="002644AE" w:rsidRDefault="00C246EC" w:rsidP="00CB68FA">
            <w:pPr>
              <w:spacing w:line="360" w:lineRule="auto"/>
              <w:jc w:val="center"/>
              <w:rPr>
                <w:rFonts w:cs="Times New Roman"/>
                <w:sz w:val="20"/>
                <w:szCs w:val="20"/>
              </w:rPr>
            </w:pPr>
          </w:p>
        </w:tc>
        <w:tc>
          <w:tcPr>
            <w:tcW w:w="3523" w:type="dxa"/>
            <w:shd w:val="clear" w:color="auto" w:fill="FFFFFF" w:themeFill="background1"/>
          </w:tcPr>
          <w:p w14:paraId="684BD01A" w14:textId="77777777" w:rsidR="00C246EC" w:rsidRPr="002644AE" w:rsidRDefault="00C246EC" w:rsidP="00CB68FA">
            <w:pPr>
              <w:spacing w:line="360" w:lineRule="auto"/>
              <w:rPr>
                <w:rFonts w:cs="Times New Roman"/>
                <w:sz w:val="20"/>
                <w:szCs w:val="20"/>
              </w:rPr>
            </w:pPr>
            <w:r w:rsidRPr="002644AE">
              <w:rPr>
                <w:rFonts w:cs="Times New Roman"/>
                <w:sz w:val="20"/>
                <w:szCs w:val="20"/>
              </w:rPr>
              <w:t>Barcelos</w:t>
            </w:r>
          </w:p>
        </w:tc>
        <w:tc>
          <w:tcPr>
            <w:tcW w:w="1134" w:type="dxa"/>
            <w:shd w:val="clear" w:color="auto" w:fill="FFFFFF" w:themeFill="background1"/>
          </w:tcPr>
          <w:p w14:paraId="3F7B6D68"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73.0</w:t>
            </w:r>
          </w:p>
        </w:tc>
        <w:tc>
          <w:tcPr>
            <w:tcW w:w="992" w:type="dxa"/>
            <w:shd w:val="clear" w:color="auto" w:fill="FFFFFF" w:themeFill="background1"/>
          </w:tcPr>
          <w:p w14:paraId="7D210133"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58.4</w:t>
            </w:r>
          </w:p>
        </w:tc>
        <w:tc>
          <w:tcPr>
            <w:tcW w:w="1071" w:type="dxa"/>
            <w:shd w:val="clear" w:color="auto" w:fill="FFFFFF" w:themeFill="background1"/>
          </w:tcPr>
          <w:p w14:paraId="7637FA3C"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47.1</w:t>
            </w:r>
          </w:p>
        </w:tc>
        <w:tc>
          <w:tcPr>
            <w:tcW w:w="992" w:type="dxa"/>
            <w:shd w:val="clear" w:color="auto" w:fill="FFFFFF" w:themeFill="background1"/>
          </w:tcPr>
          <w:p w14:paraId="5C87C19D"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38.3</w:t>
            </w:r>
          </w:p>
        </w:tc>
        <w:tc>
          <w:tcPr>
            <w:tcW w:w="1276" w:type="dxa"/>
            <w:gridSpan w:val="2"/>
            <w:shd w:val="clear" w:color="auto" w:fill="FFFFFF" w:themeFill="background1"/>
          </w:tcPr>
          <w:p w14:paraId="5F1B7A93"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33.2</w:t>
            </w:r>
          </w:p>
        </w:tc>
      </w:tr>
      <w:tr w:rsidR="00C246EC" w:rsidRPr="002644AE" w14:paraId="7820A621" w14:textId="77777777" w:rsidTr="00CB68FA">
        <w:trPr>
          <w:trHeight w:val="70"/>
          <w:jc w:val="center"/>
        </w:trPr>
        <w:tc>
          <w:tcPr>
            <w:tcW w:w="2494" w:type="dxa"/>
            <w:vMerge/>
            <w:tcBorders>
              <w:bottom w:val="single" w:sz="12" w:space="0" w:color="auto"/>
            </w:tcBorders>
            <w:shd w:val="clear" w:color="auto" w:fill="FFFFFF" w:themeFill="background1"/>
          </w:tcPr>
          <w:p w14:paraId="245E8E90" w14:textId="77777777" w:rsidR="00C246EC" w:rsidRPr="002644AE" w:rsidRDefault="00C246EC" w:rsidP="00CB68FA">
            <w:pPr>
              <w:spacing w:line="360" w:lineRule="auto"/>
              <w:jc w:val="center"/>
              <w:rPr>
                <w:rFonts w:cs="Times New Roman"/>
                <w:sz w:val="20"/>
                <w:szCs w:val="20"/>
              </w:rPr>
            </w:pPr>
          </w:p>
        </w:tc>
        <w:tc>
          <w:tcPr>
            <w:tcW w:w="3523" w:type="dxa"/>
            <w:tcBorders>
              <w:bottom w:val="single" w:sz="12" w:space="0" w:color="auto"/>
            </w:tcBorders>
            <w:shd w:val="clear" w:color="auto" w:fill="FFFFFF" w:themeFill="background1"/>
          </w:tcPr>
          <w:p w14:paraId="5A8FE80D" w14:textId="77777777" w:rsidR="00C246EC" w:rsidRPr="002644AE" w:rsidRDefault="00C246EC" w:rsidP="00CB68FA">
            <w:pPr>
              <w:spacing w:line="360" w:lineRule="auto"/>
              <w:rPr>
                <w:rFonts w:cs="Times New Roman"/>
                <w:sz w:val="20"/>
                <w:szCs w:val="20"/>
              </w:rPr>
            </w:pPr>
            <w:r w:rsidRPr="002644AE">
              <w:rPr>
                <w:rFonts w:cs="Times New Roman"/>
                <w:sz w:val="20"/>
                <w:szCs w:val="20"/>
              </w:rPr>
              <w:t>São João das Missões</w:t>
            </w:r>
          </w:p>
        </w:tc>
        <w:tc>
          <w:tcPr>
            <w:tcW w:w="1134" w:type="dxa"/>
            <w:tcBorders>
              <w:bottom w:val="single" w:sz="12" w:space="0" w:color="auto"/>
            </w:tcBorders>
            <w:shd w:val="clear" w:color="auto" w:fill="FFFFFF" w:themeFill="background1"/>
          </w:tcPr>
          <w:p w14:paraId="5DC62E56"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104.1</w:t>
            </w:r>
          </w:p>
        </w:tc>
        <w:tc>
          <w:tcPr>
            <w:tcW w:w="992" w:type="dxa"/>
            <w:tcBorders>
              <w:bottom w:val="single" w:sz="12" w:space="0" w:color="auto"/>
            </w:tcBorders>
            <w:shd w:val="clear" w:color="auto" w:fill="FFFFFF" w:themeFill="background1"/>
          </w:tcPr>
          <w:p w14:paraId="16EC7D80"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113.3</w:t>
            </w:r>
          </w:p>
        </w:tc>
        <w:tc>
          <w:tcPr>
            <w:tcW w:w="1071" w:type="dxa"/>
            <w:tcBorders>
              <w:bottom w:val="single" w:sz="12" w:space="0" w:color="auto"/>
            </w:tcBorders>
            <w:shd w:val="clear" w:color="auto" w:fill="FFFFFF" w:themeFill="background1"/>
          </w:tcPr>
          <w:p w14:paraId="09974C54"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103.8</w:t>
            </w:r>
          </w:p>
        </w:tc>
        <w:tc>
          <w:tcPr>
            <w:tcW w:w="992" w:type="dxa"/>
            <w:tcBorders>
              <w:bottom w:val="single" w:sz="12" w:space="0" w:color="auto"/>
            </w:tcBorders>
            <w:shd w:val="clear" w:color="auto" w:fill="FFFFFF" w:themeFill="background1"/>
          </w:tcPr>
          <w:p w14:paraId="0C57E82B" w14:textId="77777777" w:rsidR="00C246EC" w:rsidRPr="002644AE" w:rsidRDefault="00C246EC" w:rsidP="00CB68FA">
            <w:pPr>
              <w:spacing w:line="360" w:lineRule="auto"/>
              <w:jc w:val="center"/>
              <w:rPr>
                <w:rFonts w:cs="Times New Roman"/>
                <w:sz w:val="20"/>
                <w:szCs w:val="20"/>
              </w:rPr>
            </w:pPr>
            <w:r w:rsidRPr="002644AE">
              <w:rPr>
                <w:rFonts w:cs="Times New Roman"/>
                <w:sz w:val="20"/>
                <w:szCs w:val="20"/>
              </w:rPr>
              <w:t>83.7</w:t>
            </w:r>
          </w:p>
        </w:tc>
        <w:tc>
          <w:tcPr>
            <w:tcW w:w="1276" w:type="dxa"/>
            <w:gridSpan w:val="2"/>
            <w:tcBorders>
              <w:bottom w:val="single" w:sz="12" w:space="0" w:color="auto"/>
            </w:tcBorders>
            <w:shd w:val="clear" w:color="auto" w:fill="FFFFFF" w:themeFill="background1"/>
          </w:tcPr>
          <w:p w14:paraId="23726F32" w14:textId="77777777" w:rsidR="00C246EC" w:rsidRPr="002644AE" w:rsidRDefault="00C246EC" w:rsidP="00CB68FA">
            <w:pPr>
              <w:spacing w:line="360" w:lineRule="auto"/>
              <w:rPr>
                <w:rFonts w:cs="Times New Roman"/>
                <w:sz w:val="20"/>
                <w:szCs w:val="20"/>
              </w:rPr>
            </w:pPr>
            <w:r w:rsidRPr="002644AE">
              <w:rPr>
                <w:rFonts w:cs="Times New Roman"/>
                <w:sz w:val="20"/>
                <w:szCs w:val="20"/>
              </w:rPr>
              <w:t xml:space="preserve">  62.0</w:t>
            </w:r>
          </w:p>
        </w:tc>
      </w:tr>
    </w:tbl>
    <w:p w14:paraId="17923F72" w14:textId="77777777" w:rsidR="00C246EC" w:rsidRDefault="00C246EC" w:rsidP="00BD11FF">
      <w:pPr>
        <w:spacing w:line="360" w:lineRule="auto"/>
        <w:ind w:firstLine="708"/>
        <w:jc w:val="both"/>
        <w:rPr>
          <w:rFonts w:cs="Times New Roman"/>
          <w:sz w:val="20"/>
          <w:szCs w:val="20"/>
          <w:lang w:val="en-US"/>
        </w:rPr>
      </w:pPr>
      <w:r w:rsidRPr="002644AE">
        <w:rPr>
          <w:rFonts w:cs="Times New Roman"/>
          <w:sz w:val="20"/>
          <w:szCs w:val="20"/>
          <w:lang w:val="en-US"/>
        </w:rPr>
        <w:t>MCC: Meningococcal C Conjugate Vaccine, BCG: Bacillus Calmette-Guérin; YF: Yellow Fever; PCV10: 10-valent Pneumococcal Conjugate Vaccine. Data obtained from Department of Informatics of the Brazilian Ministry of Health.</w:t>
      </w:r>
    </w:p>
    <w:p w14:paraId="204E9A96" w14:textId="77777777" w:rsidR="002644AE" w:rsidRPr="002644AE" w:rsidRDefault="002644AE" w:rsidP="00BD11FF">
      <w:pPr>
        <w:spacing w:line="360" w:lineRule="auto"/>
        <w:ind w:firstLine="708"/>
        <w:jc w:val="both"/>
        <w:rPr>
          <w:rFonts w:cs="Times New Roman"/>
          <w:sz w:val="20"/>
          <w:szCs w:val="20"/>
          <w:lang w:val="en-US"/>
        </w:rPr>
      </w:pPr>
    </w:p>
    <w:p w14:paraId="6098AAD7" w14:textId="77777777" w:rsidR="00C246EC" w:rsidRPr="00A209E8" w:rsidRDefault="00C246EC" w:rsidP="00BD11FF">
      <w:pPr>
        <w:spacing w:line="360" w:lineRule="auto"/>
        <w:ind w:firstLine="708"/>
        <w:jc w:val="both"/>
        <w:rPr>
          <w:rFonts w:cs="Times New Roman"/>
          <w:szCs w:val="24"/>
          <w:lang w:val="en-US"/>
        </w:rPr>
      </w:pPr>
      <w:r w:rsidRPr="00B716AF">
        <w:rPr>
          <w:rFonts w:cs="Times New Roman"/>
          <w:szCs w:val="24"/>
          <w:lang w:val="en-US"/>
        </w:rPr>
        <w:t>Considering data obtained during pandemic period the locality of Boa vista achieved 100% of vaccine coverage rate to PCV10 in 2020 and to BCG in 2020, 2021 and 2022. In São Paulo de Olivença approximately</w:t>
      </w:r>
      <w:r w:rsidRPr="00A209E8">
        <w:rPr>
          <w:rFonts w:cs="Times New Roman"/>
          <w:szCs w:val="24"/>
          <w:lang w:val="en-US"/>
        </w:rPr>
        <w:t xml:space="preserve"> 18% of coverage vaccine rate was reported for MCC, BCG and PCV10 in 2021. Moreover, only 10.2% of coverage vaccine to YF was achieved in the same period and locality. In general, there was a decrease in the immunization in all vaccines </w:t>
      </w:r>
      <w:r w:rsidRPr="00A209E8">
        <w:rPr>
          <w:rFonts w:cs="Times New Roman"/>
          <w:szCs w:val="24"/>
          <w:lang w:val="en-US"/>
        </w:rPr>
        <w:lastRenderedPageBreak/>
        <w:t>evaluated in this study when compared to data from 2020 to 2021. Fluctuations between 20.6% to 100% and 10.2% to 100% in vaccine coverage rates were found in 2020 and 2021, respectively.</w:t>
      </w:r>
    </w:p>
    <w:p w14:paraId="5BDEDD4F" w14:textId="77777777"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There was a reduction the almost 80% on coverage vaccine when compared data the 2019 to 202</w:t>
      </w:r>
      <w:r>
        <w:rPr>
          <w:rFonts w:cs="Times New Roman"/>
          <w:szCs w:val="24"/>
          <w:lang w:val="en-US"/>
        </w:rPr>
        <w:t>2</w:t>
      </w:r>
      <w:r w:rsidRPr="00A209E8">
        <w:rPr>
          <w:rFonts w:cs="Times New Roman"/>
          <w:szCs w:val="24"/>
          <w:lang w:val="en-US"/>
        </w:rPr>
        <w:t xml:space="preserve"> in at least one locality for each immunization analyzed. While in 2018 many localities achieve 100% of coverage vaccine in </w:t>
      </w:r>
      <w:r w:rsidRPr="00B716AF">
        <w:rPr>
          <w:rFonts w:cs="Times New Roman"/>
          <w:szCs w:val="24"/>
          <w:lang w:val="en-US"/>
        </w:rPr>
        <w:t>2022 only</w:t>
      </w:r>
      <w:r w:rsidRPr="00A209E8">
        <w:rPr>
          <w:rFonts w:cs="Times New Roman"/>
          <w:szCs w:val="24"/>
          <w:lang w:val="en-US"/>
        </w:rPr>
        <w:t xml:space="preserve"> Boa Vista </w:t>
      </w:r>
      <w:r>
        <w:rPr>
          <w:rFonts w:cs="Times New Roman"/>
          <w:szCs w:val="24"/>
          <w:lang w:val="en-US"/>
        </w:rPr>
        <w:t xml:space="preserve">and São João das </w:t>
      </w:r>
      <w:proofErr w:type="spellStart"/>
      <w:r>
        <w:rPr>
          <w:rFonts w:cs="Times New Roman"/>
          <w:szCs w:val="24"/>
          <w:lang w:val="en-US"/>
        </w:rPr>
        <w:t>Missões</w:t>
      </w:r>
      <w:proofErr w:type="spellEnd"/>
      <w:r>
        <w:rPr>
          <w:rFonts w:cs="Times New Roman"/>
          <w:szCs w:val="24"/>
          <w:lang w:val="en-US"/>
        </w:rPr>
        <w:t xml:space="preserve"> </w:t>
      </w:r>
      <w:r w:rsidRPr="00A209E8">
        <w:rPr>
          <w:rFonts w:cs="Times New Roman"/>
          <w:szCs w:val="24"/>
          <w:lang w:val="en-US"/>
        </w:rPr>
        <w:t xml:space="preserve">obtained the same coverage for BCG vaccine. </w:t>
      </w:r>
    </w:p>
    <w:p w14:paraId="0FDD0C6C" w14:textId="77777777" w:rsidR="00C246EC" w:rsidRPr="00A209E8" w:rsidRDefault="00C246EC" w:rsidP="00BD11FF">
      <w:pPr>
        <w:spacing w:line="360" w:lineRule="auto"/>
        <w:ind w:firstLine="708"/>
        <w:jc w:val="both"/>
        <w:rPr>
          <w:rFonts w:cs="Times New Roman"/>
          <w:b/>
          <w:bCs/>
          <w:szCs w:val="24"/>
          <w:lang w:val="en-US"/>
        </w:rPr>
      </w:pPr>
      <w:r w:rsidRPr="00A209E8">
        <w:rPr>
          <w:rFonts w:cs="Times New Roman"/>
          <w:b/>
          <w:bCs/>
          <w:szCs w:val="24"/>
          <w:lang w:val="en-US"/>
        </w:rPr>
        <w:t>DISCUSSION</w:t>
      </w:r>
    </w:p>
    <w:p w14:paraId="2E325437" w14:textId="06E6D373"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Since March 2020, Brazil has been strongly affected by COVID-19 pandemic, mainly vulnerable populations as indigenous</w:t>
      </w:r>
      <w:r w:rsidR="007B6038">
        <w:rPr>
          <w:rFonts w:cs="Times New Roman"/>
          <w:szCs w:val="24"/>
          <w:lang w:val="en-US"/>
        </w:rPr>
        <w:t>.</w:t>
      </w:r>
      <w:r w:rsidRPr="00A209E8">
        <w:rPr>
          <w:rFonts w:cs="Times New Roman"/>
          <w:szCs w:val="24"/>
          <w:lang w:val="en-US"/>
        </w:rPr>
        <w:t xml:space="preserve"> </w:t>
      </w:r>
      <w:r w:rsidRPr="007B6038">
        <w:rPr>
          <w:rFonts w:cs="Times New Roman"/>
          <w:noProof/>
          <w:szCs w:val="24"/>
          <w:vertAlign w:val="superscript"/>
          <w:lang w:val="en-US"/>
        </w:rPr>
        <w:t>10</w:t>
      </w:r>
      <w:r w:rsidRPr="007B6038">
        <w:rPr>
          <w:rFonts w:cs="Times New Roman"/>
          <w:szCs w:val="24"/>
          <w:vertAlign w:val="superscript"/>
          <w:lang w:val="en-US"/>
        </w:rPr>
        <w:t xml:space="preserve"> </w:t>
      </w:r>
      <w:r w:rsidRPr="00A209E8">
        <w:rPr>
          <w:rFonts w:cs="Times New Roman"/>
          <w:szCs w:val="24"/>
          <w:lang w:val="en-US"/>
        </w:rPr>
        <w:t xml:space="preserve">In this context of pandemic, due to measures of social distancing to mitigate the transmission of the virus many countries registered a substantial reduction in vaccination coverage. Here, we observed an important drop in the immunization over time across this study. </w:t>
      </w:r>
    </w:p>
    <w:p w14:paraId="5BD598AC" w14:textId="1E112AEB"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In England, there was a reduction of 19.8% in the doses of the measles-mumps-rubella vaccine during the COVID-19 pandemic period</w:t>
      </w:r>
      <w:r w:rsidR="00A1072F">
        <w:rPr>
          <w:rFonts w:cs="Times New Roman"/>
          <w:szCs w:val="24"/>
          <w:lang w:val="en-US"/>
        </w:rPr>
        <w:t>.</w:t>
      </w:r>
      <w:r w:rsidRPr="00A1072F">
        <w:rPr>
          <w:rFonts w:cs="Times New Roman"/>
          <w:noProof/>
          <w:szCs w:val="24"/>
          <w:vertAlign w:val="superscript"/>
          <w:lang w:val="en-US"/>
        </w:rPr>
        <w:t>11</w:t>
      </w:r>
      <w:r w:rsidR="00A1072F">
        <w:rPr>
          <w:rFonts w:cs="Times New Roman"/>
          <w:noProof/>
          <w:szCs w:val="24"/>
          <w:vertAlign w:val="superscript"/>
          <w:lang w:val="en-US"/>
        </w:rPr>
        <w:t xml:space="preserve"> </w:t>
      </w:r>
      <w:r w:rsidRPr="00A209E8">
        <w:rPr>
          <w:rFonts w:cs="Times New Roman"/>
          <w:szCs w:val="24"/>
          <w:lang w:val="en-US"/>
        </w:rPr>
        <w:t>It has been reported that In the United States, the decrease in vaccine coverage began the week after the pandemic and this decrease were higher among children under two years old</w:t>
      </w:r>
      <w:r w:rsidR="007B6038">
        <w:rPr>
          <w:rFonts w:cs="Times New Roman"/>
          <w:szCs w:val="24"/>
          <w:lang w:val="en-US"/>
        </w:rPr>
        <w:t>.</w:t>
      </w:r>
      <w:r w:rsidRPr="00A209E8">
        <w:rPr>
          <w:rFonts w:cs="Times New Roman"/>
          <w:szCs w:val="24"/>
          <w:lang w:val="en-US"/>
        </w:rPr>
        <w:t xml:space="preserve"> </w:t>
      </w:r>
      <w:r w:rsidRPr="007B6038">
        <w:rPr>
          <w:rFonts w:cs="Times New Roman"/>
          <w:noProof/>
          <w:szCs w:val="24"/>
          <w:vertAlign w:val="superscript"/>
          <w:lang w:val="en-US"/>
        </w:rPr>
        <w:t>12</w:t>
      </w:r>
      <w:r w:rsidRPr="00A209E8">
        <w:rPr>
          <w:rFonts w:cs="Times New Roman"/>
          <w:szCs w:val="24"/>
          <w:lang w:val="en-US"/>
        </w:rPr>
        <w:t xml:space="preserve"> Also, in United States a paper showed that the vaccinal coverage, for all recommended vaccines, dropped from 67.0% to 49.7% among 5 months old children</w:t>
      </w:r>
      <w:r w:rsidR="007B6038">
        <w:rPr>
          <w:rFonts w:cs="Times New Roman"/>
          <w:szCs w:val="24"/>
          <w:lang w:val="en-US"/>
        </w:rPr>
        <w:t>.</w:t>
      </w:r>
      <w:r w:rsidR="007B6038" w:rsidRPr="007B6038">
        <w:rPr>
          <w:rFonts w:cs="Times New Roman"/>
          <w:noProof/>
          <w:szCs w:val="24"/>
          <w:vertAlign w:val="superscript"/>
          <w:lang w:val="en-US"/>
        </w:rPr>
        <w:t>6</w:t>
      </w:r>
      <w:r w:rsidR="007B6038" w:rsidRPr="00A209E8">
        <w:rPr>
          <w:rFonts w:cs="Times New Roman"/>
          <w:szCs w:val="24"/>
          <w:lang w:val="en-US"/>
        </w:rPr>
        <w:t xml:space="preserve"> </w:t>
      </w:r>
      <w:r w:rsidR="007B6038">
        <w:rPr>
          <w:rFonts w:cs="Times New Roman"/>
          <w:szCs w:val="24"/>
          <w:lang w:val="en-US"/>
        </w:rPr>
        <w:t>Moreover</w:t>
      </w:r>
      <w:r w:rsidRPr="00A209E8">
        <w:rPr>
          <w:rFonts w:cs="Times New Roman"/>
          <w:szCs w:val="24"/>
          <w:lang w:val="en-US"/>
        </w:rPr>
        <w:t>, the vaccine that protects against measles, diphtheria, and tetanus decreased in coverage in Indonesia</w:t>
      </w:r>
      <w:r w:rsidR="007B6038">
        <w:rPr>
          <w:rFonts w:cs="Times New Roman"/>
          <w:szCs w:val="24"/>
          <w:lang w:val="en-US"/>
        </w:rPr>
        <w:t>.</w:t>
      </w:r>
      <w:r w:rsidRPr="007B6038">
        <w:rPr>
          <w:rFonts w:cs="Times New Roman"/>
          <w:szCs w:val="24"/>
          <w:vertAlign w:val="superscript"/>
          <w:lang w:val="en-US"/>
        </w:rPr>
        <w:t xml:space="preserve"> </w:t>
      </w:r>
      <w:r w:rsidRPr="007B6038">
        <w:rPr>
          <w:rFonts w:cs="Times New Roman"/>
          <w:noProof/>
          <w:szCs w:val="24"/>
          <w:vertAlign w:val="superscript"/>
          <w:lang w:val="en-US"/>
        </w:rPr>
        <w:t>7</w:t>
      </w:r>
      <w:r w:rsidRPr="00A209E8">
        <w:rPr>
          <w:rFonts w:cs="Times New Roman"/>
          <w:szCs w:val="24"/>
          <w:lang w:val="en-US"/>
        </w:rPr>
        <w:t xml:space="preserve"> </w:t>
      </w:r>
    </w:p>
    <w:p w14:paraId="2C4EDE65" w14:textId="77777777" w:rsidR="00C246EC" w:rsidRDefault="00C246EC" w:rsidP="00BD11FF">
      <w:pPr>
        <w:spacing w:line="360" w:lineRule="auto"/>
        <w:ind w:firstLine="708"/>
        <w:jc w:val="both"/>
        <w:rPr>
          <w:rFonts w:cs="Times New Roman"/>
          <w:szCs w:val="24"/>
          <w:lang w:val="en-US"/>
        </w:rPr>
      </w:pPr>
      <w:r w:rsidRPr="00A209E8">
        <w:rPr>
          <w:rFonts w:cs="Times New Roman"/>
          <w:szCs w:val="24"/>
          <w:lang w:val="en-US"/>
        </w:rPr>
        <w:t xml:space="preserve">In a previously study, we evaluated the impact of COVID-19 in the MCC, BCG the triple bacterial vaccine (DTaP), and PCV10 immunization in Brazil and we found a drop around 10 to 20% from 2019 to 2020 period. When we evaluated the coverage vaccine by region, we found that Northern and Northeast regions was responsible by the higher decline levels of coverage by approximately 20%. </w:t>
      </w:r>
      <w:r>
        <w:rPr>
          <w:rFonts w:cs="Times New Roman"/>
          <w:szCs w:val="24"/>
          <w:lang w:val="en-US"/>
        </w:rPr>
        <w:t xml:space="preserve"> </w:t>
      </w:r>
      <w:r w:rsidRPr="00A209E8">
        <w:rPr>
          <w:rFonts w:cs="Times New Roman"/>
          <w:szCs w:val="24"/>
          <w:lang w:val="en-US"/>
        </w:rPr>
        <w:t xml:space="preserve">In order to evaluate the same impact in indigenous populations we collected data from the ten localities with the highest number of indigenous people in the country. There was more than 55% of reduction in the coverage vaccine rate to MCC in almost half of localities analyzed. Furthermore, in São Paulo de Olivença this reduction was </w:t>
      </w:r>
      <w:r>
        <w:rPr>
          <w:rFonts w:cs="Times New Roman"/>
          <w:szCs w:val="24"/>
          <w:lang w:val="en-US"/>
        </w:rPr>
        <w:t>at least 70</w:t>
      </w:r>
      <w:r w:rsidRPr="00A209E8">
        <w:rPr>
          <w:rFonts w:cs="Times New Roman"/>
          <w:szCs w:val="24"/>
          <w:lang w:val="en-US"/>
        </w:rPr>
        <w:t xml:space="preserve">% for all vaccines which we evaluated. </w:t>
      </w:r>
    </w:p>
    <w:p w14:paraId="3BB8C246" w14:textId="12A9700D" w:rsidR="0019640C" w:rsidRDefault="00C246EC" w:rsidP="00BD11FF">
      <w:pPr>
        <w:spacing w:line="360" w:lineRule="auto"/>
        <w:ind w:firstLine="708"/>
        <w:jc w:val="both"/>
        <w:rPr>
          <w:rFonts w:cs="Times New Roman"/>
          <w:szCs w:val="24"/>
          <w:vertAlign w:val="superscript"/>
          <w:lang w:val="en-US"/>
        </w:rPr>
      </w:pPr>
      <w:r w:rsidRPr="00A209E8">
        <w:rPr>
          <w:rFonts w:cs="Times New Roman"/>
          <w:szCs w:val="24"/>
          <w:lang w:val="en-US"/>
        </w:rPr>
        <w:t xml:space="preserve">These results clearly showed that these reductions in the immunization were higher than observed in our previously study already mentioned. Moreover, was also higher than another </w:t>
      </w:r>
      <w:r w:rsidRPr="00A209E8">
        <w:rPr>
          <w:rFonts w:cs="Times New Roman"/>
          <w:szCs w:val="24"/>
          <w:lang w:val="en-US"/>
        </w:rPr>
        <w:lastRenderedPageBreak/>
        <w:t>study that showed a decrease of 27% in the first dose of the pentavalent vaccine applied in March 2020 when compared to March 2019 in Brazil</w:t>
      </w:r>
      <w:r w:rsidR="007B6038">
        <w:rPr>
          <w:rFonts w:cs="Times New Roman"/>
          <w:szCs w:val="24"/>
          <w:lang w:val="en-US"/>
        </w:rPr>
        <w:t>.</w:t>
      </w:r>
      <w:r w:rsidRPr="007B6038">
        <w:rPr>
          <w:rFonts w:cs="Times New Roman"/>
          <w:noProof/>
          <w:szCs w:val="24"/>
          <w:vertAlign w:val="superscript"/>
          <w:lang w:val="en-US"/>
        </w:rPr>
        <w:t>5</w:t>
      </w:r>
      <w:r w:rsidRPr="00A209E8">
        <w:rPr>
          <w:rFonts w:cs="Times New Roman"/>
          <w:szCs w:val="24"/>
          <w:lang w:val="en-US"/>
        </w:rPr>
        <w:t xml:space="preserve">   It is important to consider that indigenous communities often have minimal access to clean water and public sanitation.  Furthermore, local medical services are scarce or non-existent for remote rural communities.  These issues reinforce the necessity to achieved higher vaccine coverage rate to prevent different infectious diseases. </w:t>
      </w:r>
      <w:r w:rsidRPr="00A209E8">
        <w:rPr>
          <w:rFonts w:cs="Times New Roman"/>
          <w:szCs w:val="24"/>
          <w:lang w:val="en-US"/>
        </w:rPr>
        <w:cr/>
      </w:r>
      <w:r>
        <w:rPr>
          <w:rFonts w:cs="Times New Roman"/>
          <w:szCs w:val="24"/>
          <w:lang w:val="en-US"/>
        </w:rPr>
        <w:t xml:space="preserve">           </w:t>
      </w:r>
      <w:r w:rsidRPr="00A209E8">
        <w:rPr>
          <w:rFonts w:cs="Times New Roman"/>
          <w:szCs w:val="24"/>
          <w:lang w:val="en-US"/>
        </w:rPr>
        <w:t>A study that evaluated the increased vulnerability to SARS‑CoV‑2 infection among indigenous people living in the urban area of Manaus reported that the majority of the population adopted distancing measures during the pandemic</w:t>
      </w:r>
      <w:r w:rsidR="007B6038">
        <w:rPr>
          <w:rFonts w:cs="Times New Roman"/>
          <w:szCs w:val="24"/>
          <w:lang w:val="en-US"/>
        </w:rPr>
        <w:t>.</w:t>
      </w:r>
      <w:r w:rsidRPr="007B6038">
        <w:rPr>
          <w:rFonts w:cs="Times New Roman"/>
          <w:noProof/>
          <w:szCs w:val="24"/>
          <w:vertAlign w:val="superscript"/>
          <w:lang w:val="en-US"/>
        </w:rPr>
        <w:t>8</w:t>
      </w:r>
      <w:r w:rsidRPr="00A209E8">
        <w:rPr>
          <w:rFonts w:cs="Times New Roman"/>
          <w:szCs w:val="24"/>
          <w:lang w:val="en-US"/>
        </w:rPr>
        <w:t xml:space="preserve"> The fear of contagious by COVID-19 could explain, at least in part de lower immunization in the 2020 period.  However, it is also important to consider that overall, in 2021 when indigenous people had already been immunization against COVID-19 the coverage vaccine rate was lower than observed in 2020.  These data suggest that COVID-19 maybe was not the only problem that was associated with lower immunization rates. According to Menezes and colleagues, other reasons must be considered besides non-adherence to vaccination due to the pandemic, such as fear of vaccine side effects, lack of knowledge regarding its benefits, and difficulties to visit the health post</w:t>
      </w:r>
      <w:r w:rsidR="007B6038">
        <w:rPr>
          <w:rFonts w:cs="Times New Roman"/>
          <w:szCs w:val="24"/>
          <w:lang w:val="en-US"/>
        </w:rPr>
        <w:t>.</w:t>
      </w:r>
      <w:r w:rsidRPr="00A209E8">
        <w:rPr>
          <w:rFonts w:cs="Times New Roman"/>
          <w:szCs w:val="24"/>
          <w:lang w:val="en-US"/>
        </w:rPr>
        <w:t xml:space="preserve"> </w:t>
      </w:r>
      <w:r w:rsidRPr="007B6038">
        <w:rPr>
          <w:rFonts w:cs="Times New Roman"/>
          <w:noProof/>
          <w:szCs w:val="24"/>
          <w:vertAlign w:val="superscript"/>
          <w:lang w:val="en-US"/>
        </w:rPr>
        <w:t>13</w:t>
      </w:r>
      <w:r w:rsidR="0019640C">
        <w:rPr>
          <w:rFonts w:cs="Times New Roman"/>
          <w:noProof/>
          <w:szCs w:val="24"/>
          <w:vertAlign w:val="superscript"/>
          <w:lang w:val="en-US"/>
        </w:rPr>
        <w:t xml:space="preserve"> </w:t>
      </w:r>
      <w:r w:rsidR="0019640C" w:rsidRPr="002F580D">
        <w:rPr>
          <w:rFonts w:cs="Times New Roman"/>
          <w:szCs w:val="24"/>
          <w:lang w:val="en-US"/>
        </w:rPr>
        <w:t>Moreover, reactions to governments, as well as cultural and religious issues, have also been reported in a systematic review that analyzed vaccine hesitancy in Latin America and Africa</w:t>
      </w:r>
      <w:r w:rsidR="0019640C">
        <w:rPr>
          <w:rFonts w:cs="Times New Roman"/>
          <w:szCs w:val="24"/>
          <w:lang w:val="en-US"/>
        </w:rPr>
        <w:t xml:space="preserve">. </w:t>
      </w:r>
      <w:r w:rsidR="0019640C" w:rsidRPr="0019640C">
        <w:rPr>
          <w:rFonts w:cs="Times New Roman"/>
          <w:szCs w:val="24"/>
          <w:vertAlign w:val="superscript"/>
          <w:lang w:val="en-US"/>
        </w:rPr>
        <w:t>1</w:t>
      </w:r>
      <w:r w:rsidR="0019640C">
        <w:rPr>
          <w:rFonts w:cs="Times New Roman"/>
          <w:szCs w:val="24"/>
          <w:vertAlign w:val="superscript"/>
          <w:lang w:val="en-US"/>
        </w:rPr>
        <w:t>5</w:t>
      </w:r>
    </w:p>
    <w:p w14:paraId="3EA62E30" w14:textId="6FA8D9CF" w:rsidR="00C246EC" w:rsidRPr="00A209E8" w:rsidRDefault="00C246EC" w:rsidP="00BD11FF">
      <w:pPr>
        <w:spacing w:line="360" w:lineRule="auto"/>
        <w:ind w:firstLine="708"/>
        <w:jc w:val="both"/>
        <w:rPr>
          <w:rFonts w:cs="Times New Roman"/>
          <w:szCs w:val="24"/>
          <w:lang w:val="en-US"/>
        </w:rPr>
      </w:pPr>
      <w:r w:rsidRPr="00A209E8">
        <w:rPr>
          <w:rFonts w:cs="Times New Roman"/>
          <w:szCs w:val="24"/>
          <w:lang w:val="en-US"/>
        </w:rPr>
        <w:t xml:space="preserve"> A few limitations of this study should be mentioned. Firstly, Brazil has an important national net system which is based on different databanks that was used in this paper. However, secondary data often have inconsistencies and are subject to underreporting. Second, we used data from ten localities with more indigenous people in Brazil because data that refer to vaccine coverage rate there are not only for indigenous populations. Thus, we assumed that the coverage vaccine is the same for indigenous and non-indigenous groups in these localities. One of the main strengths of this paper is that to our knowledge this is the first study to evaluated, in indigenous people the impact of the COVID-19 pandemic in the coverage of several important vaccines in Brazil.  Furthermore, we used the latest available data for coverage vaccine rate in the country. </w:t>
      </w:r>
    </w:p>
    <w:p w14:paraId="0846ADA6" w14:textId="52119F82" w:rsidR="00C246EC" w:rsidRDefault="00C246EC" w:rsidP="00BD11FF">
      <w:pPr>
        <w:spacing w:line="360" w:lineRule="auto"/>
        <w:ind w:firstLine="708"/>
        <w:jc w:val="both"/>
        <w:rPr>
          <w:rFonts w:cs="Times New Roman"/>
          <w:szCs w:val="24"/>
          <w:lang w:val="en-US"/>
        </w:rPr>
      </w:pPr>
      <w:r w:rsidRPr="00A209E8">
        <w:rPr>
          <w:rFonts w:cs="Times New Roman"/>
          <w:szCs w:val="24"/>
          <w:lang w:val="en-US"/>
        </w:rPr>
        <w:t xml:space="preserve">In the COVID-19 pandemic the WHO estimated that at least 80 million children would be susceptible to preventable infectious diseases as measles, diphtheria, and polio due to of the decrease in vaccination coverage. In addition, it has been reported that this impact would be even more important in families with unfavorable socioeconomic conditions as indigenous </w:t>
      </w:r>
      <w:r w:rsidRPr="00A209E8">
        <w:rPr>
          <w:rFonts w:cs="Times New Roman"/>
          <w:szCs w:val="24"/>
          <w:lang w:val="en-US"/>
        </w:rPr>
        <w:lastRenderedPageBreak/>
        <w:t>populations</w:t>
      </w:r>
      <w:r w:rsidR="007B6038">
        <w:rPr>
          <w:rFonts w:cs="Times New Roman"/>
          <w:szCs w:val="24"/>
          <w:lang w:val="en-US"/>
        </w:rPr>
        <w:t>.</w:t>
      </w:r>
      <w:r w:rsidRPr="007B6038">
        <w:rPr>
          <w:rFonts w:cs="Times New Roman"/>
          <w:noProof/>
          <w:szCs w:val="24"/>
          <w:vertAlign w:val="superscript"/>
          <w:lang w:val="en-US"/>
        </w:rPr>
        <w:t>2, 5</w:t>
      </w:r>
      <w:r w:rsidR="0019640C">
        <w:rPr>
          <w:rFonts w:cs="Times New Roman"/>
          <w:noProof/>
          <w:szCs w:val="24"/>
          <w:vertAlign w:val="superscript"/>
          <w:lang w:val="en-US"/>
        </w:rPr>
        <w:t xml:space="preserve"> </w:t>
      </w:r>
      <w:r>
        <w:rPr>
          <w:rFonts w:cs="Times New Roman"/>
          <w:szCs w:val="24"/>
          <w:lang w:val="en-US"/>
        </w:rPr>
        <w:t>T</w:t>
      </w:r>
      <w:r w:rsidRPr="00A209E8">
        <w:rPr>
          <w:rFonts w:cs="Times New Roman"/>
          <w:szCs w:val="24"/>
          <w:lang w:val="en-US"/>
        </w:rPr>
        <w:t>o identify the really cause of reduction in the immunizations is urgent in indigenous localities. Our results highlight the importance to promote vaccinations campaign because immunization in one of the main strategies to combat inequality in the development countries</w:t>
      </w:r>
      <w:r w:rsidR="007B6038">
        <w:rPr>
          <w:rFonts w:cs="Times New Roman"/>
          <w:szCs w:val="24"/>
          <w:lang w:val="en-US"/>
        </w:rPr>
        <w:t>.</w:t>
      </w:r>
      <w:r w:rsidR="00437C3C">
        <w:rPr>
          <w:rFonts w:cs="Times New Roman"/>
          <w:noProof/>
          <w:szCs w:val="24"/>
          <w:vertAlign w:val="superscript"/>
          <w:lang w:val="en-US"/>
        </w:rPr>
        <w:t>2</w:t>
      </w:r>
      <w:r w:rsidRPr="007B6038">
        <w:rPr>
          <w:rFonts w:cs="Times New Roman"/>
          <w:szCs w:val="24"/>
          <w:vertAlign w:val="superscript"/>
          <w:lang w:val="en-US"/>
        </w:rPr>
        <w:t xml:space="preserve"> </w:t>
      </w:r>
    </w:p>
    <w:p w14:paraId="1ACC5788" w14:textId="77777777" w:rsidR="00C246EC" w:rsidRPr="00407C80" w:rsidRDefault="00C246EC" w:rsidP="00F17AD7">
      <w:pPr>
        <w:spacing w:line="360" w:lineRule="auto"/>
        <w:ind w:firstLine="708"/>
        <w:jc w:val="both"/>
        <w:rPr>
          <w:rFonts w:cs="Times New Roman"/>
          <w:szCs w:val="24"/>
          <w:lang w:val="en-US"/>
        </w:rPr>
      </w:pPr>
      <w:r w:rsidRPr="00147BA1">
        <w:rPr>
          <w:rFonts w:cs="Times New Roman"/>
          <w:b/>
          <w:bCs/>
          <w:szCs w:val="24"/>
          <w:lang w:val="en-US"/>
        </w:rPr>
        <w:t xml:space="preserve">REFERENCE </w:t>
      </w:r>
    </w:p>
    <w:p w14:paraId="2C46B222" w14:textId="23EE56A9" w:rsidR="00C246EC" w:rsidRPr="00437C3C" w:rsidRDefault="00C246EC" w:rsidP="00234F13">
      <w:pPr>
        <w:pStyle w:val="EndNoteBibliography"/>
        <w:spacing w:after="0" w:line="360" w:lineRule="auto"/>
        <w:jc w:val="both"/>
      </w:pPr>
      <w:bookmarkStart w:id="1" w:name="_ENREF_1"/>
      <w:r w:rsidRPr="00407C80">
        <w:t>1.</w:t>
      </w:r>
      <w:r w:rsidRPr="00407C80">
        <w:tab/>
        <w:t xml:space="preserve">Stein RA. The golden age of anti-vaccine conspiracies. </w:t>
      </w:r>
      <w:r w:rsidRPr="00437C3C">
        <w:t>Germs. 2017;7(4):168-70.</w:t>
      </w:r>
      <w:bookmarkEnd w:id="1"/>
      <w:r w:rsidR="00742369" w:rsidRPr="00407C80">
        <w:t xml:space="preserve">  </w:t>
      </w:r>
      <w:hyperlink r:id="rId5" w:history="1">
        <w:r w:rsidR="00742369" w:rsidRPr="00407C80">
          <w:rPr>
            <w:rStyle w:val="Hyperlink"/>
            <w:color w:val="auto"/>
          </w:rPr>
          <w:t>https://doi.org/10.18683/germs.2017.1122</w:t>
        </w:r>
      </w:hyperlink>
      <w:r w:rsidR="00742369" w:rsidRPr="00407C80">
        <w:t xml:space="preserve">  </w:t>
      </w:r>
    </w:p>
    <w:p w14:paraId="2F2C7EE5" w14:textId="65B8124D" w:rsidR="00C246EC" w:rsidRPr="00407C80" w:rsidRDefault="00C246EC" w:rsidP="00234F13">
      <w:pPr>
        <w:pStyle w:val="EndNoteBibliography"/>
        <w:spacing w:after="0" w:line="360" w:lineRule="auto"/>
        <w:jc w:val="both"/>
      </w:pPr>
      <w:bookmarkStart w:id="2" w:name="_ENREF_2"/>
      <w:r w:rsidRPr="00407C80">
        <w:rPr>
          <w:lang w:val="pt-BR"/>
        </w:rPr>
        <w:t>2.</w:t>
      </w:r>
      <w:r w:rsidRPr="00407C80">
        <w:rPr>
          <w:lang w:val="pt-BR"/>
        </w:rPr>
        <w:tab/>
        <w:t xml:space="preserve">Silveira MM, Conrad NL, Leivas Leite FP. </w:t>
      </w:r>
      <w:r w:rsidRPr="00407C80">
        <w:t>Effect of COVID-19 on vaccination coverage in Brazil. Journal of medical microbiology. 2021;70(11).</w:t>
      </w:r>
      <w:bookmarkEnd w:id="2"/>
      <w:r w:rsidR="00742369" w:rsidRPr="00407C80">
        <w:t xml:space="preserve"> </w:t>
      </w:r>
      <w:hyperlink r:id="rId6" w:history="1">
        <w:r w:rsidR="00742369" w:rsidRPr="00D2478D">
          <w:rPr>
            <w:rStyle w:val="Hyperlink"/>
            <w:color w:val="auto"/>
          </w:rPr>
          <w:t>https://doi.org/</w:t>
        </w:r>
      </w:hyperlink>
      <w:r w:rsidR="00742369" w:rsidRPr="00D2478D">
        <w:rPr>
          <w:u w:val="single"/>
        </w:rPr>
        <w:t>10.1099/jmm.0.001466</w:t>
      </w:r>
    </w:p>
    <w:p w14:paraId="590CE80A" w14:textId="6D33673A" w:rsidR="00C246EC" w:rsidRPr="00407C80" w:rsidRDefault="00C246EC" w:rsidP="00234F13">
      <w:pPr>
        <w:pStyle w:val="EndNoteBibliography"/>
        <w:spacing w:after="0" w:line="360" w:lineRule="auto"/>
        <w:jc w:val="both"/>
      </w:pPr>
      <w:bookmarkStart w:id="3" w:name="_ENREF_3"/>
      <w:r w:rsidRPr="00407C80">
        <w:t>3.</w:t>
      </w:r>
      <w:r w:rsidRPr="00407C80">
        <w:tab/>
        <w:t>Zhang H, Patenaude B, Zhang H, Jit M, Fang H. Global vaccine coverage and childhood survival estimates: 1990-2019. Bulletin of the World Health Organization. 2024;102(4):276-87.</w:t>
      </w:r>
      <w:bookmarkEnd w:id="3"/>
      <w:r w:rsidR="00742369" w:rsidRPr="00407C80">
        <w:t xml:space="preserve"> </w:t>
      </w:r>
      <w:hyperlink r:id="rId7" w:history="1">
        <w:r w:rsidR="00742369" w:rsidRPr="00407C80">
          <w:rPr>
            <w:rStyle w:val="Hyperlink"/>
            <w:color w:val="auto"/>
          </w:rPr>
          <w:t>https://doi.org/10.2471/BLT.23.290129</w:t>
        </w:r>
      </w:hyperlink>
      <w:r w:rsidR="00742369" w:rsidRPr="00407C80">
        <w:rPr>
          <w:u w:val="single" w:color="0070C0"/>
        </w:rPr>
        <w:t xml:space="preserve"> </w:t>
      </w:r>
    </w:p>
    <w:p w14:paraId="5F2EA118" w14:textId="0C9204ED" w:rsidR="00C246EC" w:rsidRPr="00407C80" w:rsidRDefault="00C246EC" w:rsidP="00234F13">
      <w:pPr>
        <w:pStyle w:val="EndNoteBibliography"/>
        <w:spacing w:after="0" w:line="360" w:lineRule="auto"/>
        <w:jc w:val="both"/>
      </w:pPr>
      <w:bookmarkStart w:id="4" w:name="_ENREF_4"/>
      <w:r w:rsidRPr="00407C80">
        <w:t>4.</w:t>
      </w:r>
      <w:r w:rsidRPr="00407C80">
        <w:tab/>
        <w:t>MacDonald N, Mohsni E, Al-Mazrou Y, Kim Andrus J, Arora N, Elden S, et al. Global vaccine action plan lessons learned I: Recommendations for the next decade. Vaccine. 2020;38</w:t>
      </w:r>
      <w:r w:rsidR="00742369" w:rsidRPr="00407C80">
        <w:t xml:space="preserve"> </w:t>
      </w:r>
      <w:r w:rsidRPr="00407C80">
        <w:t>(33):5364-71.</w:t>
      </w:r>
      <w:bookmarkEnd w:id="4"/>
      <w:r w:rsidR="00742369" w:rsidRPr="00407C80">
        <w:t xml:space="preserve"> </w:t>
      </w:r>
      <w:hyperlink r:id="rId8" w:history="1">
        <w:r w:rsidR="00742369" w:rsidRPr="00407C80">
          <w:rPr>
            <w:rStyle w:val="Hyperlink"/>
            <w:color w:val="auto"/>
          </w:rPr>
          <w:t>https://doi.org/10.1016/j.vaccine.2020.05.003</w:t>
        </w:r>
      </w:hyperlink>
    </w:p>
    <w:p w14:paraId="1AE71147" w14:textId="734B2DF4" w:rsidR="00C246EC" w:rsidRPr="00407C80" w:rsidRDefault="00C246EC" w:rsidP="00234F13">
      <w:pPr>
        <w:pStyle w:val="EndNoteBibliography"/>
        <w:spacing w:after="0" w:line="360" w:lineRule="auto"/>
        <w:jc w:val="both"/>
      </w:pPr>
      <w:bookmarkStart w:id="5" w:name="_ENREF_5"/>
      <w:r w:rsidRPr="00407C80">
        <w:t>5.</w:t>
      </w:r>
      <w:r w:rsidRPr="00407C80">
        <w:tab/>
        <w:t>Sato APS. Pandemic and vaccine coverage: challenges of returning to schools. Revista de saude publica. 2020;54:115.</w:t>
      </w:r>
      <w:bookmarkEnd w:id="5"/>
      <w:r w:rsidR="00742369" w:rsidRPr="00407C80">
        <w:t xml:space="preserve"> </w:t>
      </w:r>
      <w:hyperlink r:id="rId9" w:history="1">
        <w:r w:rsidR="00742369" w:rsidRPr="00407C80">
          <w:rPr>
            <w:rStyle w:val="Hyperlink"/>
            <w:color w:val="auto"/>
          </w:rPr>
          <w:t>https://doi.org/10.11606/s1518-8787.2020054003142</w:t>
        </w:r>
      </w:hyperlink>
      <w:r w:rsidR="00742369" w:rsidRPr="00407C80">
        <w:t xml:space="preserve"> </w:t>
      </w:r>
    </w:p>
    <w:p w14:paraId="2D8E986D" w14:textId="6665D7AA" w:rsidR="00C246EC" w:rsidRPr="00407C80" w:rsidRDefault="00C246EC" w:rsidP="00234F13">
      <w:pPr>
        <w:pStyle w:val="EndNoteBibliography"/>
        <w:spacing w:after="0" w:line="360" w:lineRule="auto"/>
        <w:jc w:val="both"/>
      </w:pPr>
      <w:bookmarkStart w:id="6" w:name="_ENREF_6"/>
      <w:r w:rsidRPr="00407C80">
        <w:t>6.</w:t>
      </w:r>
      <w:r w:rsidRPr="00407C80">
        <w:tab/>
        <w:t>Bramer CA, Kimmins LM, Swanson R, Kuo J, Vranesich P, Jacques-Carroll LA, et al. Decline in Child Vaccination Coverage During the COVID-19 Pandemic - Michigan Care Improvement Registry, May 2016-May 2020. MMWR Morbidity and mortality weekly report. 2020;69(20):630-1.</w:t>
      </w:r>
      <w:bookmarkEnd w:id="6"/>
      <w:r w:rsidR="00742369" w:rsidRPr="00407C80">
        <w:t xml:space="preserve"> </w:t>
      </w:r>
      <w:hyperlink r:id="rId10" w:history="1">
        <w:r w:rsidR="00742369" w:rsidRPr="00407C80">
          <w:rPr>
            <w:rStyle w:val="Hyperlink"/>
            <w:color w:val="auto"/>
          </w:rPr>
          <w:t>http://dx.doi.org/10.15585/mmwr.mm6920e1</w:t>
        </w:r>
      </w:hyperlink>
    </w:p>
    <w:p w14:paraId="527A59F3" w14:textId="4B63DF66" w:rsidR="00C246EC" w:rsidRPr="00407C80" w:rsidRDefault="00C246EC" w:rsidP="00234F13">
      <w:pPr>
        <w:pStyle w:val="EndNoteBibliography"/>
        <w:spacing w:after="0" w:line="360" w:lineRule="auto"/>
        <w:jc w:val="both"/>
        <w:rPr>
          <w:lang w:val="pt-BR"/>
        </w:rPr>
      </w:pPr>
      <w:bookmarkStart w:id="7" w:name="_ENREF_7"/>
      <w:r w:rsidRPr="00437C3C">
        <w:rPr>
          <w:lang w:val="pt-BR"/>
        </w:rPr>
        <w:t>7.</w:t>
      </w:r>
      <w:r w:rsidRPr="00437C3C">
        <w:rPr>
          <w:lang w:val="pt-BR"/>
        </w:rPr>
        <w:tab/>
        <w:t xml:space="preserve">Suwantika AA, Boersma C, Postma MJ. </w:t>
      </w:r>
      <w:r w:rsidRPr="00407C80">
        <w:t xml:space="preserve">The potential impact of COVID-19 pandemic on the immunization performance in Indonesia. </w:t>
      </w:r>
      <w:r w:rsidRPr="00407C80">
        <w:rPr>
          <w:lang w:val="pt-BR"/>
        </w:rPr>
        <w:t>Expert review of vaccines. 2020;19(8):687-90.</w:t>
      </w:r>
      <w:bookmarkEnd w:id="7"/>
      <w:r w:rsidR="00742369" w:rsidRPr="00407C80">
        <w:rPr>
          <w:lang w:val="pt-BR"/>
        </w:rPr>
        <w:t xml:space="preserve"> </w:t>
      </w:r>
      <w:hyperlink r:id="rId11" w:history="1">
        <w:r w:rsidR="00742369" w:rsidRPr="00D2478D">
          <w:rPr>
            <w:rStyle w:val="Hyperlink"/>
            <w:color w:val="auto"/>
            <w:lang w:val="pt-BR"/>
          </w:rPr>
          <w:t>https://doi.org/</w:t>
        </w:r>
      </w:hyperlink>
      <w:r w:rsidR="00742369" w:rsidRPr="00D2478D">
        <w:rPr>
          <w:u w:val="single"/>
          <w:lang w:val="pt-BR"/>
        </w:rPr>
        <w:t>10.1080/14760584.2020.1800461</w:t>
      </w:r>
      <w:r w:rsidR="00742369" w:rsidRPr="00407C80">
        <w:rPr>
          <w:i/>
          <w:iCs/>
          <w:lang w:val="pt-BR"/>
        </w:rPr>
        <w:t xml:space="preserve"> </w:t>
      </w:r>
    </w:p>
    <w:p w14:paraId="3AD99CA3" w14:textId="4969390E" w:rsidR="00C246EC" w:rsidRPr="00407C80" w:rsidRDefault="00C246EC" w:rsidP="00234F13">
      <w:pPr>
        <w:pStyle w:val="EndNoteBibliography"/>
        <w:spacing w:after="0" w:line="360" w:lineRule="auto"/>
        <w:jc w:val="both"/>
        <w:rPr>
          <w:lang w:val="pt-BR"/>
        </w:rPr>
      </w:pPr>
      <w:bookmarkStart w:id="8" w:name="_ENREF_8"/>
      <w:r w:rsidRPr="00407C80">
        <w:rPr>
          <w:lang w:val="pt-BR"/>
        </w:rPr>
        <w:t>8.</w:t>
      </w:r>
      <w:r w:rsidRPr="00407C80">
        <w:rPr>
          <w:lang w:val="pt-BR"/>
        </w:rPr>
        <w:tab/>
        <w:t xml:space="preserve">Pontes GS, de Melo Silva J, Pinheiro-Silva R, Barbosa AN, Santos LC, de Padua Quirino Ramalho A, et al. </w:t>
      </w:r>
      <w:r w:rsidRPr="00407C80">
        <w:t xml:space="preserve">Increased vulnerability to SARS-CoV-2 infection among indigenous people living in the urban area of Manaus. </w:t>
      </w:r>
      <w:r w:rsidRPr="00407C80">
        <w:rPr>
          <w:lang w:val="pt-BR"/>
        </w:rPr>
        <w:t>Scientific reports. 2021;11(1):17534.</w:t>
      </w:r>
      <w:bookmarkEnd w:id="8"/>
      <w:r w:rsidR="00742369" w:rsidRPr="00437C3C">
        <w:rPr>
          <w:lang w:val="pt-BR"/>
        </w:rPr>
        <w:t xml:space="preserve"> </w:t>
      </w:r>
      <w:hyperlink r:id="rId12" w:history="1">
        <w:r w:rsidR="00742369" w:rsidRPr="00407C80">
          <w:rPr>
            <w:rStyle w:val="Hyperlink"/>
            <w:color w:val="auto"/>
            <w:lang w:val="pt-BR"/>
          </w:rPr>
          <w:t>https://doi.org/10.1038/s41598-021-96843-1</w:t>
        </w:r>
      </w:hyperlink>
      <w:r w:rsidR="00742369" w:rsidRPr="00407C80">
        <w:rPr>
          <w:lang w:val="pt-BR"/>
        </w:rPr>
        <w:t xml:space="preserve">  </w:t>
      </w:r>
    </w:p>
    <w:p w14:paraId="495AFF7E" w14:textId="270F45A4" w:rsidR="00C246EC" w:rsidRPr="00D2478D" w:rsidRDefault="00C246EC" w:rsidP="00234F13">
      <w:pPr>
        <w:pStyle w:val="EndNoteBibliography"/>
        <w:spacing w:after="0" w:line="360" w:lineRule="auto"/>
        <w:jc w:val="both"/>
        <w:rPr>
          <w:lang w:val="pt-BR"/>
        </w:rPr>
      </w:pPr>
      <w:bookmarkStart w:id="9" w:name="_ENREF_9"/>
      <w:r w:rsidRPr="00407C80">
        <w:rPr>
          <w:lang w:val="pt-BR"/>
        </w:rPr>
        <w:t>9.</w:t>
      </w:r>
      <w:r w:rsidRPr="00407C80">
        <w:rPr>
          <w:lang w:val="pt-BR"/>
        </w:rPr>
        <w:tab/>
        <w:t xml:space="preserve">Andrade AL, Minamisava R, Tomich LM, Lemos AP, Gorla MC, de Cunto Brandileone MC, et al. </w:t>
      </w:r>
      <w:r w:rsidRPr="00407C80">
        <w:t xml:space="preserve">Impact of meningococcal C conjugate vaccination four years after introduction of routine childhood immunization in Brazil. </w:t>
      </w:r>
      <w:r w:rsidRPr="00407C80">
        <w:rPr>
          <w:lang w:val="pt-BR"/>
        </w:rPr>
        <w:t>Vaccine. 2017;35(16):2025-33.</w:t>
      </w:r>
      <w:bookmarkEnd w:id="9"/>
      <w:r w:rsidR="006D1054" w:rsidRPr="00407C80">
        <w:rPr>
          <w:lang w:val="pt-BR"/>
        </w:rPr>
        <w:t xml:space="preserve"> </w:t>
      </w:r>
      <w:hyperlink r:id="rId13" w:history="1">
        <w:r w:rsidR="006D1054" w:rsidRPr="00D2478D">
          <w:rPr>
            <w:rStyle w:val="Hyperlink"/>
            <w:color w:val="auto"/>
            <w:lang w:val="pt-BR"/>
          </w:rPr>
          <w:t>https://doi.org/</w:t>
        </w:r>
      </w:hyperlink>
      <w:r w:rsidR="006D1054" w:rsidRPr="00D2478D">
        <w:rPr>
          <w:u w:val="single"/>
          <w:lang w:val="pt-BR"/>
        </w:rPr>
        <w:t>10.1016/j.vaccine.2017.03.010</w:t>
      </w:r>
    </w:p>
    <w:p w14:paraId="43085C4A" w14:textId="1A0186C5" w:rsidR="00C246EC" w:rsidRPr="00407C80" w:rsidRDefault="00C246EC" w:rsidP="00234F13">
      <w:pPr>
        <w:pStyle w:val="EndNoteBibliography"/>
        <w:spacing w:after="0" w:line="360" w:lineRule="auto"/>
        <w:jc w:val="both"/>
      </w:pPr>
      <w:bookmarkStart w:id="10" w:name="_ENREF_10"/>
      <w:r w:rsidRPr="00407C80">
        <w:rPr>
          <w:lang w:val="pt-BR"/>
        </w:rPr>
        <w:lastRenderedPageBreak/>
        <w:t>10.</w:t>
      </w:r>
      <w:r w:rsidRPr="00407C80">
        <w:rPr>
          <w:lang w:val="pt-BR"/>
        </w:rPr>
        <w:tab/>
        <w:t xml:space="preserve">Santos VS, Souza Araujo AA, de Oliveira JR, Quintans-Junior LJ, Martins-Filho PR. </w:t>
      </w:r>
      <w:r w:rsidRPr="00407C80">
        <w:t>COVID-19 mortality among Indigenous people in Brazil: a nationwide register-based study. Journal of public health. 2021;43(2):e250-e1.</w:t>
      </w:r>
      <w:bookmarkEnd w:id="10"/>
      <w:r w:rsidR="006D1054" w:rsidRPr="00407C80">
        <w:t xml:space="preserve"> </w:t>
      </w:r>
      <w:hyperlink r:id="rId14" w:history="1">
        <w:r w:rsidR="006D1054" w:rsidRPr="00407C80">
          <w:rPr>
            <w:rStyle w:val="Hyperlink"/>
            <w:color w:val="auto"/>
          </w:rPr>
          <w:t>https://doi.org/10.1093/pubmed/fdaa176</w:t>
        </w:r>
      </w:hyperlink>
      <w:r w:rsidR="006D1054" w:rsidRPr="00407C80">
        <w:t xml:space="preserve"> </w:t>
      </w:r>
      <w:r w:rsidR="006D1054" w:rsidRPr="00407C80">
        <w:rPr>
          <w:u w:val="single" w:color="0070C0"/>
        </w:rPr>
        <w:t xml:space="preserve"> </w:t>
      </w:r>
    </w:p>
    <w:p w14:paraId="32C962B8" w14:textId="52A5376C" w:rsidR="00C246EC" w:rsidRPr="00407C80" w:rsidRDefault="00C246EC" w:rsidP="00234F13">
      <w:pPr>
        <w:pStyle w:val="EndNoteBibliography"/>
        <w:spacing w:after="0" w:line="360" w:lineRule="auto"/>
        <w:jc w:val="both"/>
      </w:pPr>
      <w:bookmarkStart w:id="11" w:name="_ENREF_11"/>
      <w:r w:rsidRPr="00407C80">
        <w:t>11.</w:t>
      </w:r>
      <w:r w:rsidRPr="00407C80">
        <w:tab/>
        <w:t>McDonald HI, Tessier E, White JM, Woodruff M, Knowles C, Bates C, et al. Early impact of the coronavirus disease (COVID-19) pandemic and physical distancing measures on routine childhood vaccinations in England, January to April 2020. Euro surveillance : bulletin Europeen sur les maladies transmissibles = European communicable disease bulletin. 2020;25</w:t>
      </w:r>
      <w:r w:rsidR="00234F13">
        <w:t xml:space="preserve"> </w:t>
      </w:r>
      <w:r w:rsidRPr="00407C80">
        <w:t>(19).</w:t>
      </w:r>
      <w:bookmarkEnd w:id="11"/>
      <w:r w:rsidR="006D1054" w:rsidRPr="00407C80">
        <w:t xml:space="preserve"> </w:t>
      </w:r>
      <w:hyperlink r:id="rId15" w:history="1">
        <w:r w:rsidR="006D1054" w:rsidRPr="00407C80">
          <w:rPr>
            <w:rStyle w:val="Hyperlink"/>
            <w:color w:val="auto"/>
          </w:rPr>
          <w:t>https://doi.org/10.2807/1560-7917.ES.2020.25.19.2000848</w:t>
        </w:r>
      </w:hyperlink>
      <w:r w:rsidR="006D1054" w:rsidRPr="00407C80">
        <w:t xml:space="preserve">  </w:t>
      </w:r>
    </w:p>
    <w:p w14:paraId="72DCEC88" w14:textId="29389807" w:rsidR="00C246EC" w:rsidRPr="00407C80" w:rsidRDefault="00C246EC" w:rsidP="00234F13">
      <w:pPr>
        <w:pStyle w:val="EndNoteBibliography"/>
        <w:spacing w:after="0" w:line="360" w:lineRule="auto"/>
        <w:jc w:val="both"/>
      </w:pPr>
      <w:bookmarkStart w:id="12" w:name="_ENREF_12"/>
      <w:r w:rsidRPr="00407C80">
        <w:t>12.</w:t>
      </w:r>
      <w:r w:rsidRPr="00407C80">
        <w:tab/>
        <w:t>Santoli JM, Lindley MC, DeSilva MB, Kharbanda EO, Daley MF, Galloway L, et al. Effects of the COVID-19 Pandemic on Routine Pediatric Vaccine Ordering and Administration - United States, 2020. MMWR Morbidity and mortality weekly report. 2020;69(19):591-3.</w:t>
      </w:r>
      <w:bookmarkEnd w:id="12"/>
      <w:r w:rsidR="006D1054" w:rsidRPr="00407C80">
        <w:t xml:space="preserve"> </w:t>
      </w:r>
      <w:hyperlink r:id="rId16" w:history="1">
        <w:r w:rsidR="006D1054" w:rsidRPr="00407C80">
          <w:rPr>
            <w:rStyle w:val="Hyperlink"/>
            <w:color w:val="auto"/>
          </w:rPr>
          <w:t>https://doi.org/10.15585/mmwr.mm6919e2</w:t>
        </w:r>
      </w:hyperlink>
      <w:r w:rsidR="006D1054" w:rsidRPr="00407C80">
        <w:t xml:space="preserve"> </w:t>
      </w:r>
    </w:p>
    <w:p w14:paraId="206B0662" w14:textId="2E50C31F" w:rsidR="00C246EC" w:rsidRPr="00407C80" w:rsidRDefault="00C246EC" w:rsidP="00234F13">
      <w:pPr>
        <w:pStyle w:val="EndNoteBibliography"/>
        <w:spacing w:after="0" w:line="360" w:lineRule="auto"/>
        <w:jc w:val="both"/>
        <w:rPr>
          <w:lang w:val="pt-BR"/>
        </w:rPr>
      </w:pPr>
      <w:bookmarkStart w:id="13" w:name="_ENREF_13"/>
      <w:r w:rsidRPr="00407C80">
        <w:rPr>
          <w:lang w:val="pt-BR"/>
        </w:rPr>
        <w:t>13.</w:t>
      </w:r>
      <w:r w:rsidRPr="00407C80">
        <w:rPr>
          <w:lang w:val="pt-BR"/>
        </w:rPr>
        <w:tab/>
        <w:t xml:space="preserve">Menezes AMB, Hallal PC, Silveira MF, Wehrmeister FC, Horta BL, Barros AJD, et al. </w:t>
      </w:r>
      <w:r w:rsidRPr="00407C80">
        <w:t xml:space="preserve">Influenza vaccination in older adults during the COVID-19 pandemic: a population-based study in 133 Brazilian cities. </w:t>
      </w:r>
      <w:r w:rsidRPr="00407C80">
        <w:rPr>
          <w:lang w:val="pt-BR"/>
        </w:rPr>
        <w:t>Ciencia &amp; saude coletiva. 2021;26(8):2937-47.</w:t>
      </w:r>
      <w:bookmarkEnd w:id="13"/>
      <w:r w:rsidR="006D1054" w:rsidRPr="00407C80">
        <w:rPr>
          <w:lang w:val="pt-BR"/>
        </w:rPr>
        <w:t xml:space="preserve"> </w:t>
      </w:r>
      <w:hyperlink r:id="rId17" w:history="1">
        <w:r w:rsidR="006D1054" w:rsidRPr="00D2478D">
          <w:rPr>
            <w:rStyle w:val="Hyperlink"/>
            <w:color w:val="auto"/>
            <w:lang w:val="pt-BR"/>
          </w:rPr>
          <w:t>https://doi.org/</w:t>
        </w:r>
      </w:hyperlink>
      <w:r w:rsidR="006D1054" w:rsidRPr="00D2478D">
        <w:rPr>
          <w:u w:val="single"/>
          <w:lang w:val="pt-BR"/>
        </w:rPr>
        <w:t>10.1590/1413-81232021268.09382021</w:t>
      </w:r>
    </w:p>
    <w:p w14:paraId="44E0A382" w14:textId="0C49709A" w:rsidR="00C246EC" w:rsidRPr="0019640C" w:rsidRDefault="00C246EC" w:rsidP="00234F13">
      <w:pPr>
        <w:pStyle w:val="EndNoteBibliography"/>
        <w:spacing w:after="0" w:line="360" w:lineRule="auto"/>
        <w:jc w:val="both"/>
        <w:rPr>
          <w:lang w:val="pt-BR"/>
        </w:rPr>
      </w:pPr>
      <w:bookmarkStart w:id="14" w:name="_ENREF_14"/>
      <w:r w:rsidRPr="00407C80">
        <w:rPr>
          <w:lang w:val="pt-BR"/>
        </w:rPr>
        <w:t>14.</w:t>
      </w:r>
      <w:r w:rsidRPr="00407C80">
        <w:rPr>
          <w:lang w:val="pt-BR"/>
        </w:rPr>
        <w:tab/>
        <w:t xml:space="preserve">Takahashi S, Metcalf CJ, Ferrari MJ, Moss WJ, Truelove SA, Tatem AJ, et al. </w:t>
      </w:r>
      <w:r w:rsidRPr="00407C80">
        <w:t xml:space="preserve">Reduced vaccination and the risk of measles and other childhood infections post-Ebola. </w:t>
      </w:r>
      <w:r w:rsidRPr="0019640C">
        <w:rPr>
          <w:lang w:val="pt-BR"/>
        </w:rPr>
        <w:t>Science. 2015;347(6227):1240-2.</w:t>
      </w:r>
      <w:bookmarkEnd w:id="14"/>
      <w:r w:rsidR="006D1054" w:rsidRPr="0019640C">
        <w:rPr>
          <w:lang w:val="pt-BR"/>
        </w:rPr>
        <w:t xml:space="preserve"> </w:t>
      </w:r>
      <w:hyperlink r:id="rId18" w:history="1">
        <w:r w:rsidR="006D1054" w:rsidRPr="0019640C">
          <w:rPr>
            <w:rStyle w:val="Hyperlink"/>
            <w:color w:val="auto"/>
            <w:lang w:val="pt-BR"/>
          </w:rPr>
          <w:t>https://doi.org/10.1126/science.aaa3438</w:t>
        </w:r>
      </w:hyperlink>
    </w:p>
    <w:p w14:paraId="211BA0AC" w14:textId="64877EB7" w:rsidR="00C246EC" w:rsidRPr="0019640C" w:rsidRDefault="0019640C" w:rsidP="00234F13">
      <w:pPr>
        <w:spacing w:line="360" w:lineRule="auto"/>
        <w:rPr>
          <w:u w:val="single"/>
          <w:lang w:val="en-US"/>
        </w:rPr>
      </w:pPr>
      <w:r w:rsidRPr="0019640C">
        <w:t>15.</w:t>
      </w:r>
      <w:r>
        <w:t xml:space="preserve">     </w:t>
      </w:r>
      <w:r w:rsidRPr="0019640C">
        <w:t xml:space="preserve"> Matos C, Goncalves BA, Couto MT. </w:t>
      </w:r>
      <w:r w:rsidRPr="0019640C">
        <w:rPr>
          <w:lang w:val="en-US"/>
        </w:rPr>
        <w:t>Vaccine hesitancy in the global south: Towards a critical perspective on global health. Global public health. 2022;17(6):1087-98</w:t>
      </w:r>
      <w:r>
        <w:rPr>
          <w:lang w:val="en-US"/>
        </w:rPr>
        <w:t xml:space="preserve">. </w:t>
      </w:r>
      <w:r w:rsidRPr="0019640C">
        <w:rPr>
          <w:u w:val="single"/>
          <w:lang w:val="en-US"/>
        </w:rPr>
        <w:t>https://doi.org/10.1080/17441692.2021.1912138</w:t>
      </w:r>
    </w:p>
    <w:sectPr w:rsidR="00C246EC" w:rsidRPr="0019640C" w:rsidSect="00664256">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24DC7"/>
    <w:multiLevelType w:val="multilevel"/>
    <w:tmpl w:val="133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15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C246EC"/>
    <w:rsid w:val="0019640C"/>
    <w:rsid w:val="001A0C23"/>
    <w:rsid w:val="0022311A"/>
    <w:rsid w:val="00234F13"/>
    <w:rsid w:val="002644AE"/>
    <w:rsid w:val="003223BE"/>
    <w:rsid w:val="00407C80"/>
    <w:rsid w:val="00437C3C"/>
    <w:rsid w:val="00443611"/>
    <w:rsid w:val="00443909"/>
    <w:rsid w:val="0055579E"/>
    <w:rsid w:val="005A11EB"/>
    <w:rsid w:val="00664256"/>
    <w:rsid w:val="006D1054"/>
    <w:rsid w:val="00705FF5"/>
    <w:rsid w:val="00742369"/>
    <w:rsid w:val="007B6038"/>
    <w:rsid w:val="0097082B"/>
    <w:rsid w:val="00A1072F"/>
    <w:rsid w:val="00B57D83"/>
    <w:rsid w:val="00C246EC"/>
    <w:rsid w:val="00D2478D"/>
    <w:rsid w:val="00DA40DD"/>
    <w:rsid w:val="00E32A6D"/>
    <w:rsid w:val="00EC6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BB8E"/>
  <w15:chartTrackingRefBased/>
  <w15:docId w15:val="{FC7F82AE-0F21-4AB9-8D53-01FB7ED5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EC"/>
    <w:rPr>
      <w:rFonts w:ascii="Times New Roman" w:hAnsi="Times New Roman"/>
      <w:kern w:val="0"/>
      <w:sz w:val="24"/>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NoteBibliographyTitle">
    <w:name w:val="EndNote Bibliography Title"/>
    <w:basedOn w:val="Normal"/>
    <w:link w:val="EndNoteBibliographyTitleChar"/>
    <w:rsid w:val="00C246EC"/>
    <w:pPr>
      <w:spacing w:after="0"/>
      <w:jc w:val="center"/>
    </w:pPr>
    <w:rPr>
      <w:rFonts w:cs="Times New Roman"/>
      <w:noProof/>
      <w:lang w:val="en-US"/>
    </w:rPr>
  </w:style>
  <w:style w:type="character" w:customStyle="1" w:styleId="EndNoteBibliographyTitleChar">
    <w:name w:val="EndNote Bibliography Title Char"/>
    <w:basedOn w:val="Fontepargpadro"/>
    <w:link w:val="EndNoteBibliographyTitle"/>
    <w:rsid w:val="00C246EC"/>
    <w:rPr>
      <w:rFonts w:ascii="Times New Roman" w:hAnsi="Times New Roman" w:cs="Times New Roman"/>
      <w:noProof/>
      <w:kern w:val="0"/>
      <w:sz w:val="24"/>
      <w:lang w:val="en-US"/>
      <w14:ligatures w14:val="none"/>
    </w:rPr>
  </w:style>
  <w:style w:type="paragraph" w:customStyle="1" w:styleId="EndNoteBibliography">
    <w:name w:val="EndNote Bibliography"/>
    <w:basedOn w:val="Normal"/>
    <w:link w:val="EndNoteBibliographyChar"/>
    <w:rsid w:val="00C246EC"/>
    <w:pPr>
      <w:spacing w:line="240" w:lineRule="auto"/>
    </w:pPr>
    <w:rPr>
      <w:rFonts w:cs="Times New Roman"/>
      <w:noProof/>
      <w:lang w:val="en-US"/>
    </w:rPr>
  </w:style>
  <w:style w:type="character" w:customStyle="1" w:styleId="EndNoteBibliographyChar">
    <w:name w:val="EndNote Bibliography Char"/>
    <w:basedOn w:val="Fontepargpadro"/>
    <w:link w:val="EndNoteBibliography"/>
    <w:rsid w:val="00C246EC"/>
    <w:rPr>
      <w:rFonts w:ascii="Times New Roman" w:hAnsi="Times New Roman" w:cs="Times New Roman"/>
      <w:noProof/>
      <w:kern w:val="0"/>
      <w:sz w:val="24"/>
      <w:lang w:val="en-US"/>
      <w14:ligatures w14:val="none"/>
    </w:rPr>
  </w:style>
  <w:style w:type="character" w:styleId="Hyperlink">
    <w:name w:val="Hyperlink"/>
    <w:basedOn w:val="Fontepargpadro"/>
    <w:uiPriority w:val="99"/>
    <w:unhideWhenUsed/>
    <w:rsid w:val="00C246EC"/>
    <w:rPr>
      <w:color w:val="0563C1" w:themeColor="hyperlink"/>
      <w:u w:val="single"/>
    </w:rPr>
  </w:style>
  <w:style w:type="character" w:styleId="MenoPendente">
    <w:name w:val="Unresolved Mention"/>
    <w:basedOn w:val="Fontepargpadro"/>
    <w:uiPriority w:val="99"/>
    <w:semiHidden/>
    <w:unhideWhenUsed/>
    <w:rsid w:val="00C246EC"/>
    <w:rPr>
      <w:color w:val="605E5C"/>
      <w:shd w:val="clear" w:color="auto" w:fill="E1DFDD"/>
    </w:rPr>
  </w:style>
  <w:style w:type="table" w:styleId="Tabelacomgrade">
    <w:name w:val="Table Grid"/>
    <w:basedOn w:val="Tabelanormal"/>
    <w:uiPriority w:val="39"/>
    <w:rsid w:val="00C246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Fontepargpadro"/>
    <w:uiPriority w:val="99"/>
    <w:semiHidden/>
    <w:unhideWhenUsed/>
    <w:rsid w:val="00C246EC"/>
  </w:style>
  <w:style w:type="character" w:styleId="Refdecomentrio">
    <w:name w:val="annotation reference"/>
    <w:basedOn w:val="Fontepargpadro"/>
    <w:uiPriority w:val="99"/>
    <w:semiHidden/>
    <w:unhideWhenUsed/>
    <w:rsid w:val="00C246EC"/>
    <w:rPr>
      <w:sz w:val="16"/>
      <w:szCs w:val="16"/>
    </w:rPr>
  </w:style>
  <w:style w:type="paragraph" w:styleId="Textodecomentrio">
    <w:name w:val="annotation text"/>
    <w:basedOn w:val="Normal"/>
    <w:link w:val="TextodecomentrioChar"/>
    <w:uiPriority w:val="99"/>
    <w:semiHidden/>
    <w:unhideWhenUsed/>
    <w:rsid w:val="00C246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246EC"/>
    <w:rPr>
      <w:rFonts w:ascii="Times New Roman" w:hAnsi="Times New Roman"/>
      <w:kern w:val="0"/>
      <w:sz w:val="20"/>
      <w:szCs w:val="20"/>
      <w14:ligatures w14:val="none"/>
    </w:rPr>
  </w:style>
  <w:style w:type="paragraph" w:styleId="Assuntodocomentrio">
    <w:name w:val="annotation subject"/>
    <w:basedOn w:val="Textodecomentrio"/>
    <w:next w:val="Textodecomentrio"/>
    <w:link w:val="AssuntodocomentrioChar"/>
    <w:uiPriority w:val="99"/>
    <w:semiHidden/>
    <w:unhideWhenUsed/>
    <w:rsid w:val="00C246EC"/>
    <w:rPr>
      <w:b/>
      <w:bCs/>
    </w:rPr>
  </w:style>
  <w:style w:type="character" w:customStyle="1" w:styleId="AssuntodocomentrioChar">
    <w:name w:val="Assunto do comentário Char"/>
    <w:basedOn w:val="TextodecomentrioChar"/>
    <w:link w:val="Assuntodocomentrio"/>
    <w:uiPriority w:val="99"/>
    <w:semiHidden/>
    <w:rsid w:val="00C246EC"/>
    <w:rPr>
      <w:rFonts w:ascii="Times New Roman" w:hAnsi="Times New Roman"/>
      <w:b/>
      <w:bCs/>
      <w:kern w:val="0"/>
      <w:sz w:val="20"/>
      <w:szCs w:val="20"/>
      <w14:ligatures w14:val="none"/>
    </w:rPr>
  </w:style>
  <w:style w:type="paragraph" w:styleId="Textodebalo">
    <w:name w:val="Balloon Text"/>
    <w:basedOn w:val="Normal"/>
    <w:link w:val="TextodebaloChar"/>
    <w:uiPriority w:val="99"/>
    <w:semiHidden/>
    <w:unhideWhenUsed/>
    <w:rsid w:val="00C246E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46EC"/>
    <w:rPr>
      <w:rFonts w:ascii="Segoe UI" w:hAnsi="Segoe UI" w:cs="Segoe UI"/>
      <w:kern w:val="0"/>
      <w:sz w:val="18"/>
      <w:szCs w:val="18"/>
      <w14:ligatures w14:val="none"/>
    </w:rPr>
  </w:style>
  <w:style w:type="paragraph" w:styleId="Reviso">
    <w:name w:val="Revision"/>
    <w:hidden/>
    <w:uiPriority w:val="99"/>
    <w:semiHidden/>
    <w:rsid w:val="00C246EC"/>
    <w:pPr>
      <w:spacing w:after="0" w:line="240" w:lineRule="auto"/>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09782">
      <w:bodyDiv w:val="1"/>
      <w:marLeft w:val="0"/>
      <w:marRight w:val="0"/>
      <w:marTop w:val="0"/>
      <w:marBottom w:val="0"/>
      <w:divBdr>
        <w:top w:val="none" w:sz="0" w:space="0" w:color="auto"/>
        <w:left w:val="none" w:sz="0" w:space="0" w:color="auto"/>
        <w:bottom w:val="none" w:sz="0" w:space="0" w:color="auto"/>
        <w:right w:val="none" w:sz="0" w:space="0" w:color="auto"/>
      </w:divBdr>
    </w:div>
    <w:div w:id="70340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vaccine.2020.05.003" TargetMode="External"/><Relationship Id="rId13" Type="http://schemas.openxmlformats.org/officeDocument/2006/relationships/hyperlink" Target="https://doi.org/10.15649/cuidarte.v7i2.339" TargetMode="External"/><Relationship Id="rId18" Type="http://schemas.openxmlformats.org/officeDocument/2006/relationships/hyperlink" Target="https://doi.org/10.1126/science.aaa3438" TargetMode="External"/><Relationship Id="rId3" Type="http://schemas.openxmlformats.org/officeDocument/2006/relationships/settings" Target="settings.xml"/><Relationship Id="rId7" Type="http://schemas.openxmlformats.org/officeDocument/2006/relationships/hyperlink" Target="https://doi.org/10.2471/BLT.23.290129" TargetMode="External"/><Relationship Id="rId12" Type="http://schemas.openxmlformats.org/officeDocument/2006/relationships/hyperlink" Target="https://doi.org/10.1038/s41598-021-96843-1" TargetMode="External"/><Relationship Id="rId17" Type="http://schemas.openxmlformats.org/officeDocument/2006/relationships/hyperlink" Target="https://doi.org/10.15649/cuidarte.v7i2.339" TargetMode="External"/><Relationship Id="rId2" Type="http://schemas.openxmlformats.org/officeDocument/2006/relationships/styles" Target="styles.xml"/><Relationship Id="rId16" Type="http://schemas.openxmlformats.org/officeDocument/2006/relationships/hyperlink" Target="https://doi.org/10.15585/mmwr.mm6919e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5649/cuidarte.v7i2.339" TargetMode="External"/><Relationship Id="rId11" Type="http://schemas.openxmlformats.org/officeDocument/2006/relationships/hyperlink" Target="https://doi.org/10.15649/cuidarte.v7i2.339" TargetMode="External"/><Relationship Id="rId5" Type="http://schemas.openxmlformats.org/officeDocument/2006/relationships/hyperlink" Target="https://doi.org/10.18683/germs.2017.1122" TargetMode="External"/><Relationship Id="rId15" Type="http://schemas.openxmlformats.org/officeDocument/2006/relationships/hyperlink" Target="https://doi.org/10.2807/1560-7917.ES.2020.25.19.2000848" TargetMode="External"/><Relationship Id="rId10" Type="http://schemas.openxmlformats.org/officeDocument/2006/relationships/hyperlink" Target="http://dx.doi.org/10.15585/mmwr.mm6920e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606/s1518-8787.2020054003142" TargetMode="External"/><Relationship Id="rId14" Type="http://schemas.openxmlformats.org/officeDocument/2006/relationships/hyperlink" Target="https://doi.org/10.1093/pubmed/fdaa17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3130</Words>
  <Characters>16906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MOURA SILVEIRA</dc:creator>
  <cp:keywords/>
  <dc:description/>
  <cp:lastModifiedBy>Bruna Danyelle Duarte Machado</cp:lastModifiedBy>
  <cp:revision>2</cp:revision>
  <dcterms:created xsi:type="dcterms:W3CDTF">2025-10-28T16:08:00Z</dcterms:created>
  <dcterms:modified xsi:type="dcterms:W3CDTF">2025-10-28T16:08:00Z</dcterms:modified>
</cp:coreProperties>
</file>