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ind w:left="450" w:hanging="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erințe obligatorii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Pattern-urile implementate trebuie sa respecte definitia din GoF discutată în cadrul cursurilor și laboratoarelor. Nu sunt acceptate variații sau implementării incomplete.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Pattern-ul trebuie implementat corect în totalitate corect pentru a fi luat în calcul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Soluția nu conține erori de compilare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Testele unitare sunt considerate corecte doar dacă sunt implementate conform cerințelor și dacă metodele sunt corectate corespunzător pe baza lor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Pattern-urile pot fi tratate distinct sau pot fi implementate pe același set de clase</w:t>
      </w:r>
    </w:p>
    <w:p w:rsidR="00000000" w:rsidDel="00000000" w:rsidP="00000000" w:rsidRDefault="00000000" w:rsidRPr="00000000" w14:paraId="00000007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450" w:hanging="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Cerințe Clean Code obligatorii (soluția este depunctata cu câte 5 puncte pentru fiecare cerința ce nu este respectată</w:t>
      </w:r>
      <w:r w:rsidDel="00000000" w:rsidR="00000000" w:rsidRPr="00000000">
        <w:rPr>
          <w:sz w:val="24"/>
          <w:szCs w:val="24"/>
          <w:rtl w:val="0"/>
        </w:rPr>
        <w:t xml:space="preserve">) - maxim se pot pierde 15 puncte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denumirea claselor, funcțiilor, testelor unitare, atributelor și a variabilelor se respectă convenția de nume de tip Java Mix CamelCase;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Pattern-urile, Test Case-urile, Excepțiile și clasa ce contine metoda main() sunt definite in pachete distincte ce au 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cts.nume.prenume.gNrGrupa.teste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cts.nume.prenume.gNrGrupa.patternX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cts.nume.prenume.gNrGrupa.main</w:t>
      </w:r>
      <w:r w:rsidDel="00000000" w:rsidR="00000000" w:rsidRPr="00000000">
        <w:rPr>
          <w:sz w:val="24"/>
          <w:szCs w:val="24"/>
          <w:rtl w:val="0"/>
        </w:rPr>
        <w:t xml:space="preserve"> (studenții din anul suplimentar trec “as” în loc de gNrGrupa)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Clasele și metodele sunt implementate respectând principiile KISS, DRY și SOLID (atenție la DIP)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Denumirile de clase, metode si atribute au semnificație (au legatura cu subiectul)  în contextul subiectului. NU se folosesc denumiri generice/teoretice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dezvoltă o aplicație software destinată administrării unui cartier de blocuri.</w:t>
      </w:r>
    </w:p>
    <w:p w:rsidR="00000000" w:rsidDel="00000000" w:rsidP="00000000" w:rsidRDefault="00000000" w:rsidRPr="00000000" w14:paraId="00000011">
      <w:pPr>
        <w:spacing w:after="0" w:line="240" w:lineRule="auto"/>
        <w:ind w:left="3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Dezvolți o soluție software pentru asociația de proprietari dintr-un bloc care sa permita gestiunea eficientă a evenimentelor ce pot apărea, evenimente care necesita luarea unor măsuri adecvate și care să protejeze viața locatarilor. Soluția procesează (conform interfeței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IProcesareEveniment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diferite mesaje primite de la senzori/sisteme din bloc și va lua următoarele decizii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dacă s-a declanșat alarma de incendiu atunci este notificat serviciul 112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dacă este anunțată o inundație atunci este notificat administratorul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dacă este doar o informare atunci sunt notificați locatarii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(opțional) pentru alarmele de incendiu și inundație sunt anunțați și locatarii</w:t>
      </w:r>
    </w:p>
    <w:p w:rsidR="00000000" w:rsidDel="00000000" w:rsidP="00000000" w:rsidRDefault="00000000" w:rsidRPr="00000000" w14:paraId="00000016">
      <w:pPr>
        <w:spacing w:after="0" w:line="240" w:lineRule="auto"/>
        <w:ind w:left="36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sz w:val="24"/>
          <w:szCs w:val="24"/>
          <w:rtl w:val="0"/>
        </w:rPr>
        <w:t xml:space="preserve"> Pattern-ul este testat în main() prin exemplificarea scenariului în care sistemul procesează cel puțin unul dintre scenariile anunțate.</w:t>
      </w:r>
    </w:p>
    <w:p w:rsidR="00000000" w:rsidDel="00000000" w:rsidP="00000000" w:rsidRDefault="00000000" w:rsidRPr="00000000" w14:paraId="00000018">
      <w:pPr>
        <w:spacing w:after="0" w:line="240" w:lineRule="auto"/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50" w:hanging="4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Independent de implementarea scenariului anterior găsiți o soluție care să permite integrarea sistemului existent de procesare a alertelor (cu interfața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IProcesareEveniment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în sistemul național de alertare ce este construit în jurul interfeței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IAlertarePublica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5p. </w:t>
      </w:r>
      <w:r w:rsidDel="00000000" w:rsidR="00000000" w:rsidRPr="00000000">
        <w:rPr>
          <w:sz w:val="24"/>
          <w:szCs w:val="24"/>
          <w:rtl w:val="0"/>
        </w:rPr>
        <w:t xml:space="preserve">Să se testeze soluția exemplificând utilizarea sistemului blocului în cadrul sistemului public de alertare.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6p.</w:t>
      </w:r>
      <w:r w:rsidDel="00000000" w:rsidR="00000000" w:rsidRPr="00000000">
        <w:rPr>
          <w:sz w:val="24"/>
          <w:szCs w:val="24"/>
          <w:rtl w:val="0"/>
        </w:rPr>
        <w:t xml:space="preserve"> Dându-se clasa </w:t>
      </w:r>
      <w:r w:rsidDel="00000000" w:rsidR="00000000" w:rsidRPr="00000000">
        <w:rPr>
          <w:i w:val="1"/>
          <w:sz w:val="24"/>
          <w:szCs w:val="24"/>
          <w:rtl w:val="0"/>
        </w:rPr>
        <w:t xml:space="preserve">Avion </w:t>
      </w:r>
      <w:r w:rsidDel="00000000" w:rsidR="00000000" w:rsidRPr="00000000">
        <w:rPr>
          <w:sz w:val="24"/>
          <w:szCs w:val="24"/>
          <w:rtl w:val="0"/>
        </w:rPr>
        <w:t xml:space="preserve">și restricțiile definite prin comentarii să se implementeze teste unitare (toate testele unitare aferente unei metode sunt implementate într-un TestCase) care să cuprindă: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care să realizeze o testare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Boundary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</w:t>
      </w:r>
      <w:r w:rsidDel="00000000" w:rsidR="00000000" w:rsidRPr="00000000">
        <w:rPr>
          <w:b w:val="1"/>
          <w:sz w:val="24"/>
          <w:szCs w:val="24"/>
          <w:rtl w:val="0"/>
        </w:rPr>
        <w:t xml:space="preserve">GreutateIncarcata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care să testeze o testare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Error Condition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</w:t>
      </w:r>
      <w:r w:rsidDel="00000000" w:rsidR="00000000" w:rsidRPr="00000000">
        <w:rPr>
          <w:b w:val="1"/>
          <w:sz w:val="24"/>
          <w:szCs w:val="24"/>
          <w:rtl w:val="0"/>
        </w:rPr>
        <w:t xml:space="preserve">GreutateIncarcata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().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Pentru test se va folo</w:t>
      </w:r>
      <w:r w:rsidDel="00000000" w:rsidR="00000000" w:rsidRPr="00000000">
        <w:rPr>
          <w:sz w:val="24"/>
          <w:szCs w:val="24"/>
          <w:rtl w:val="0"/>
        </w:rPr>
        <w:t xml:space="preserve">si o excepție custom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de tip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Existence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constructorul cu parametri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 unit test de verificare de tip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pentru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constructorul cu parametri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(1.5p)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2p.</w:t>
      </w:r>
      <w:r w:rsidDel="00000000" w:rsidR="00000000" w:rsidRPr="00000000">
        <w:rPr>
          <w:sz w:val="24"/>
          <w:szCs w:val="24"/>
          <w:rtl w:val="0"/>
        </w:rPr>
        <w:t xml:space="preserve"> Să se implementeze o suită de teste care să conțină DOAR câte o metodă, la alegere, din fiecare test case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2p.</w:t>
      </w:r>
      <w:r w:rsidDel="00000000" w:rsidR="00000000" w:rsidRPr="00000000">
        <w:rPr>
          <w:sz w:val="24"/>
          <w:szCs w:val="24"/>
          <w:rtl w:val="0"/>
        </w:rPr>
        <w:t xml:space="preserve"> Prin testele implementate sau prin adăugarea de teste noi sa se testeze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getPretBilet</w:t>
      </w:r>
      <w:r w:rsidDel="00000000" w:rsidR="00000000" w:rsidRPr="00000000">
        <w:rPr>
          <w:sz w:val="24"/>
          <w:szCs w:val="24"/>
          <w:rtl w:val="0"/>
        </w:rPr>
        <w:t xml:space="preserve">() asigurând un code coverage de 100%  pentru această metodă.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tbl>
    <w:tblPr>
      <w:tblStyle w:val="Table1"/>
      <w:tblW w:w="10467.0" w:type="dxa"/>
      <w:jc w:val="left"/>
      <w:tblInd w:w="-115.0" w:type="dxa"/>
      <w:tblBorders>
        <w:bottom w:color="808080" w:space="0" w:sz="18" w:val="single"/>
        <w:insideV w:color="808080" w:space="0" w:sz="18" w:val="single"/>
      </w:tblBorders>
      <w:tblLayout w:type="fixed"/>
      <w:tblLook w:val="0000"/>
    </w:tblPr>
    <w:tblGrid>
      <w:gridCol w:w="9256"/>
      <w:gridCol w:w="1211"/>
      <w:tblGridChange w:id="0">
        <w:tblGrid>
          <w:gridCol w:w="9256"/>
          <w:gridCol w:w="1211"/>
        </w:tblGrid>
      </w:tblGridChange>
    </w:tblGrid>
    <w:tr>
      <w:trPr>
        <w:trHeight w:val="280" w:hRule="atLeast"/>
      </w:trPr>
      <w:tc>
        <w:tcPr>
          <w:tcBorders>
            <w:bottom w:color="808080" w:space="0" w:sz="18" w:val="single"/>
          </w:tcBorders>
        </w:tcPr>
        <w:p w:rsidR="00000000" w:rsidDel="00000000" w:rsidP="00000000" w:rsidRDefault="00000000" w:rsidRPr="00000000" w14:paraId="0000002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cs="Cambria" w:eastAsia="Cambria" w:hAnsi="Cambria"/>
              <w:sz w:val="36"/>
              <w:szCs w:val="36"/>
            </w:rPr>
          </w:pPr>
          <w:bookmarkStart w:colFirst="0" w:colLast="0" w:name="_1fob9te" w:id="2"/>
          <w:bookmarkEnd w:id="2"/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Nume:_______________________________        CTS - #12 RO 19.06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808080" w:space="0" w:sz="18" w:val="single"/>
          </w:tcBorders>
        </w:tcPr>
        <w:p w:rsidR="00000000" w:rsidDel="00000000" w:rsidP="00000000" w:rsidRDefault="00000000" w:rsidRPr="00000000" w14:paraId="0000002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cs="Cambria" w:eastAsia="Cambria" w:hAnsi="Cambria"/>
              <w:b w:val="1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sz w:val="36"/>
              <w:szCs w:val="36"/>
              <w:rtl w:val="0"/>
            </w:rPr>
            <w:t xml:space="preserve">2020</w:t>
          </w:r>
        </w:p>
      </w:tc>
    </w:tr>
  </w:tbl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