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Caso de Negocio: Expansión a Perú</w:t>
      </w:r>
    </w:p>
    <w:p>
      <w:pPr>
        <w:spacing w:after="100"/>
        <w:jc w:val="center"/>
      </w:pPr>
      <w:r>
        <w:t xml:space="preserve">NubePay — Investigación y Desarrollo / Estrategia</w:t>
      </w:r>
    </w:p>
    <w:p>
      <w:pPr>
        <w:spacing w:after="300"/>
        <w:jc w:val="center"/>
      </w:pPr>
      <w:r>
        <w:t xml:space="preserve">Documento interno de evaluación · Q1 2026</w:t>
      </w:r>
    </w:p>
    <w:p>
      <w:pPr>
        <w:pStyle w:val="Heading1"/>
        <w:spacing w:after="150" w:before="300"/>
      </w:pPr>
      <w:r>
        <w:t xml:space="preserve">1. Resumen ejecutivo</w:t>
      </w:r>
    </w:p>
    <w:p>
      <w:pPr>
        <w:spacing w:after="120"/>
      </w:pPr>
      <w:r>
        <w:t xml:space="preserve">Este documento evalúa la oportunidad de expandir las operaciones de NubePay al mercado peruano durante 2027, como quinto país de operación luego de Argentina, México, Colombia y Chile. Se estima un mercado potencial de 4.2 millones de adultos no bancarizados o subatendidos, con una oportunidad de ingresos incrementales estimada en USD 18M en los primeros 24 meses.</w:t>
      </w:r>
    </w:p>
    <w:p>
      <w:pPr>
        <w:pStyle w:val="Heading1"/>
        <w:spacing w:after="150" w:before="300"/>
      </w:pPr>
      <w:r>
        <w:t xml:space="preserve">2. Contexto de mercado</w:t>
      </w:r>
    </w:p>
    <w:p>
      <w:pPr>
        <w:spacing w:after="120"/>
      </w:pPr>
      <w:r>
        <w:t xml:space="preserve">Perú presenta una tasa de bancarización cercana al 45%, inferior al promedio regional, y un ecosistema de pagos digitales en rápido crecimiento impulsado por Yape y Plin. La Superintendencia de Banca, Seguros y AFP (SBS) ha mostrado apertura regulatoria hacia fintechs mediante el régimen de "empresas de dinero electrónico" (EEDE).</w:t>
      </w:r>
    </w:p>
    <w:p>
      <w:pPr>
        <w:pStyle w:val="Heading1"/>
        <w:spacing w:after="150" w:before="300"/>
      </w:pPr>
      <w:r>
        <w:t xml:space="preserve">3. Análisis competitivo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Yape y Plin dominan el segmento de pagos P2P entre personas, pero con funcionalidad limitada de transferencias internacionales.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Bancos tradicionales mantienen altas comisiones en remesas internacionales, un dolor identificado en encuestas cualitativas.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Ninguna fintech local ofrece actualmente un producto de ahorro remunerado en dólares combinado con billetera multimoneda.</w:t>
      </w:r>
    </w:p>
    <w:p>
      <w:pPr>
        <w:pStyle w:val="Heading1"/>
        <w:spacing w:after="150" w:before="300"/>
      </w:pPr>
      <w:r>
        <w:t xml:space="preserve">4. Propuesta de valor diferencial de NubePay</w:t>
      </w:r>
    </w:p>
    <w:p>
      <w:pPr>
        <w:spacing w:after="120"/>
      </w:pPr>
      <w:r>
        <w:t xml:space="preserve">NubePay entraría al mercado peruano con foco inicial en remesas entrantes desde Estados Unidos y España (los dos principales corredores de remesas hacia Perú), aprovechando la infraestructura de rails de pago ya construida para Chile y México, con comisiones significativamente menores a las de los bancos tradicionales.</w:t>
      </w:r>
    </w:p>
    <w:p>
      <w:pPr>
        <w:pStyle w:val="Heading1"/>
        <w:spacing w:after="150" w:before="300"/>
      </w:pPr>
      <w:r>
        <w:t xml:space="preserve">5. Requisitos regulatorios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Registro ante la SBS como Empresa de Dinero Electrónico (EEDE).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Adecuación de la Política de Privacidad y Protección de Datos a la Ley N.º 29733 de Protección de Datos Personales de Perú.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Adaptación del proceso de KYC a los estándares locales de identificación (DNI y Carné de Extranjería).</w:t>
      </w:r>
    </w:p>
    <w:p>
      <w:pPr>
        <w:pStyle w:val="Heading1"/>
        <w:spacing w:after="150" w:before="300"/>
      </w:pPr>
      <w:r>
        <w:t xml:space="preserve">6. Estimación de inversión inicial</w:t>
      </w:r>
    </w:p>
    <w:p>
      <w:pPr>
        <w:spacing w:after="120"/>
      </w:pPr>
      <w:r>
        <w:t xml:space="preserve">Se estima una inversión inicial de USD 2.4M distribuida en: adecuación regulatoria y licenciamiento (USD 600K), integración con rails de pago locales (USD 700K), marketing de lanzamiento (USD 800K), y equipo local inicial de 12 personas (USD 300K en el primer año).</w:t>
      </w:r>
    </w:p>
    <w:p>
      <w:pPr>
        <w:pStyle w:val="Heading1"/>
        <w:spacing w:after="150" w:before="300"/>
      </w:pPr>
      <w:r>
        <w:t xml:space="preserve">7. Riesgos identificados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Volatilidad regulatoria: cambios en el marco de EEDE podrían extender los plazos de aprobación.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Competencia agresiva en precios por parte de actores ya establecidos con alta base de usuarios.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Dependencia de un socio bancario local para la custodia de fondos, aún no identificado al momento de este análisis.</w:t>
      </w:r>
    </w:p>
    <w:p>
      <w:pPr>
        <w:pStyle w:val="Heading1"/>
        <w:spacing w:after="150" w:before="300"/>
      </w:pPr>
      <w:r>
        <w:t xml:space="preserve">8. Recomendación</w:t>
      </w:r>
    </w:p>
    <w:p>
      <w:pPr>
        <w:spacing w:after="120"/>
      </w:pPr>
      <w:r>
        <w:t xml:space="preserve">El equipo de Investigación y Desarrollo recomienda avanzar a una fase de validación con clientes potenciales (encuestas y grupos focales en Lima y Arequipa) durante el segundo trimestre de 2026, antes de comprometer la inversión completa, dada la incertidumbre regulatoria y la necesidad de validar la propuesta de valor de remesas con usuarios reales.</w:t>
      </w:r>
    </w:p>
    <w:p>
      <w:pPr>
        <w:pStyle w:val="Heading1"/>
        <w:spacing w:after="150" w:before="300"/>
      </w:pPr>
      <w:r>
        <w:t xml:space="preserve">9. Próximos pasos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Validar apetito de mercado con estudio cualitativo (Q2 2026).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Iniciar conversaciones exploratorias con potenciales socios bancarios locales.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Presentar caso de negocio actualizado al Comité Ejecutivo en julio de 2026, con resultados de la validación de mercado.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2026-07-09T20:07:37.704Z</dcterms:created>
  <dcterms:modified xsi:type="dcterms:W3CDTF">2026-07-09T20:07:37.704Z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