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rtl w:val="0"/>
        </w:rPr>
        <w:t xml:space="preserve">                                                       </w:t>
      </w:r>
      <w:r w:rsidDel="00000000" w:rsidR="00000000" w:rsidRPr="00000000">
        <w:rPr>
          <w:sz w:val="32"/>
          <w:szCs w:val="32"/>
          <w:rtl w:val="0"/>
        </w:rPr>
        <w:t xml:space="preserve">Laborator 1 EGC</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sz w:val="26"/>
          <w:szCs w:val="26"/>
        </w:rPr>
      </w:pPr>
      <w:r w:rsidDel="00000000" w:rsidR="00000000" w:rsidRPr="00000000">
        <w:rPr>
          <w:rtl w:val="0"/>
        </w:rPr>
        <w:t xml:space="preserve">                                                                                                                     </w:t>
      </w:r>
      <w:r w:rsidDel="00000000" w:rsidR="00000000" w:rsidRPr="00000000">
        <w:rPr>
          <w:sz w:val="26"/>
          <w:szCs w:val="26"/>
          <w:rtl w:val="0"/>
        </w:rPr>
        <w:t xml:space="preserve">Cudla Cristian</w:t>
      </w:r>
    </w:p>
    <w:p w:rsidR="00000000" w:rsidDel="00000000" w:rsidP="00000000" w:rsidRDefault="00000000" w:rsidRPr="00000000" w14:paraId="00000004">
      <w:pPr>
        <w:rPr>
          <w:sz w:val="26"/>
          <w:szCs w:val="26"/>
        </w:rPr>
      </w:pPr>
      <w:r w:rsidDel="00000000" w:rsidR="00000000" w:rsidRPr="00000000">
        <w:rPr>
          <w:sz w:val="26"/>
          <w:szCs w:val="26"/>
          <w:rtl w:val="0"/>
        </w:rPr>
        <w:t xml:space="preserve">                                                                                                        grupa 3133b</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OpenGL Tutors Pack este o resursă valoroasă pentru cei care doresc să învețe mai mult despre programarea 3D și OpenGL, folosind limbajul de programare C. Acest pachet conține o serie de materiale educaționale, cum ar fi cărți, transcrieri offline și videoclipuri care au fost create pentru a ajuta la înțelegerea și dezvoltarea competențelor în domeniul gaficii 3D. O scurtă prezentare a fiecărei resurse din pachet:</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6"/>
          <w:szCs w:val="26"/>
          <w:highlight w:val="white"/>
        </w:rPr>
      </w:pPr>
      <w:r w:rsidDel="00000000" w:rsidR="00000000" w:rsidRPr="00000000">
        <w:rPr>
          <w:rFonts w:ascii="Roboto" w:cs="Roboto" w:eastAsia="Roboto" w:hAnsi="Roboto"/>
          <w:sz w:val="26"/>
          <w:szCs w:val="26"/>
          <w:highlight w:val="white"/>
          <w:rtl w:val="0"/>
        </w:rPr>
        <w:t xml:space="preserve">OpenGL Tutors Pack (/bin): Acest director conține software-uri și exemple practice care ajută la însușirea programării OpenGL în limbajul C. Aceste instrumente software permit dezvoltatorilor să experimenteze și să practice cunoștințele teoretice pe care le dobândesc din celelalte resurse din acest pachet. Prin intermediul acestor exerciții practice, utilizatorii pot dezvolta abilități practice și pot experimenta cu diferite aspecte ale programării 3D, consolidând astfel înțelegerea lor</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6"/>
          <w:szCs w:val="26"/>
          <w:highlight w:val="white"/>
        </w:rPr>
      </w:pPr>
      <w:r w:rsidDel="00000000" w:rsidR="00000000" w:rsidRPr="00000000">
        <w:rPr>
          <w:rtl w:val="0"/>
        </w:rPr>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6"/>
          <w:szCs w:val="26"/>
          <w:highlight w:val="white"/>
        </w:rPr>
      </w:pPr>
      <w:r w:rsidDel="00000000" w:rsidR="00000000" w:rsidRPr="00000000">
        <w:rPr>
          <w:rFonts w:ascii="Roboto" w:cs="Roboto" w:eastAsia="Roboto" w:hAnsi="Roboto"/>
          <w:sz w:val="26"/>
          <w:szCs w:val="26"/>
          <w:highlight w:val="white"/>
          <w:rtl w:val="0"/>
        </w:rPr>
        <w:t xml:space="preserve">Learning Modern 3D Graphics Programming" de Jason L. McKesson: </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6"/>
          <w:szCs w:val="26"/>
          <w:highlight w:val="white"/>
        </w:rPr>
      </w:pPr>
      <w:r w:rsidDel="00000000" w:rsidR="00000000" w:rsidRPr="00000000">
        <w:rPr>
          <w:rFonts w:ascii="Roboto" w:cs="Roboto" w:eastAsia="Roboto" w:hAnsi="Roboto"/>
          <w:sz w:val="26"/>
          <w:szCs w:val="26"/>
          <w:highlight w:val="white"/>
          <w:rtl w:val="0"/>
        </w:rPr>
        <w:t xml:space="preserve">      Această carte este o resursă fundamentală pentru oricine dorește să înțeleagă bazele programării 3D și OpenGL. Jason L. McKesson oferă o prezentare clară a conceptelor cheie, începând cu elementele de bază și ajungând până la tehnici avansate. Cea mai mare valoare a acestei cărți constă în exemplele de cod explicative, care ajută cititorii să pună în practică cunoștințele în mod eficient.</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6"/>
          <w:szCs w:val="26"/>
        </w:rPr>
      </w:pPr>
      <w:r w:rsidDel="00000000" w:rsidR="00000000" w:rsidRPr="00000000">
        <w:rPr>
          <w:rtl w:val="0"/>
        </w:rPr>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sz w:val="28"/>
          <w:szCs w:val="28"/>
        </w:rPr>
      </w:pPr>
      <w:r w:rsidDel="00000000" w:rsidR="00000000" w:rsidRPr="00000000">
        <w:rPr>
          <w:rFonts w:ascii="Roboto" w:cs="Roboto" w:eastAsia="Roboto" w:hAnsi="Roboto"/>
          <w:sz w:val="26"/>
          <w:szCs w:val="26"/>
          <w:highlight w:val="white"/>
          <w:rtl w:val="0"/>
        </w:rPr>
        <w:t xml:space="preserve">"Learn OpenGL. An Offline Transcript of learnopengl.com" de Joey de Vries : Această transcriere a conținutului de pe learnopengl.com este extrem de utilă pentru cei care doresc să învețe offline. Joey de Vries oferă un ghid  pentru învățarea OpenGL, acoperind o varietate de subiecte, cum ar fi transformări, iluminare, texturi și multe altele. Disponibilitatea offline face ca această resursă să fie accesibilă în orice moment, facilitând învățarea în ritmul propriu.</w:t>
      </w:r>
      <w:r w:rsidDel="00000000" w:rsidR="00000000" w:rsidRPr="00000000">
        <w:rPr>
          <w:rFonts w:ascii="Roboto" w:cs="Roboto" w:eastAsia="Roboto" w:hAnsi="Roboto"/>
          <w:sz w:val="28"/>
          <w:szCs w:val="28"/>
          <w:highlight w:val="white"/>
          <w:rtl w:val="0"/>
        </w:rPr>
        <w:br w:type="textWrapping"/>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6"/>
          <w:szCs w:val="26"/>
          <w:highlight w:val="white"/>
        </w:rPr>
      </w:pP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sz w:val="26"/>
          <w:szCs w:val="26"/>
          <w:highlight w:val="white"/>
          <w:rtl w:val="0"/>
        </w:rPr>
        <w:t xml:space="preserve">Ecosistemul OpenGL, SIGGRAPH 2014" de Khronos Group : Acest document oferă o privire mai profundă asupra ecosistemului OpenGL și a modului în care acesta interacționează cu industria și tehnologiile conexe. Acesta oferă o înțelegere mai amplă a contextului în care OpenGL evoluează și cum se adaptează la cerințele industriei.</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A Brief Introduction to OpenGL" (2012) (/video): </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Acest videoclip oferă o privire rapidă și accesibilă asupra OpenGL, introducând conceptele cheie într-un format ușor de urmărit. Este un punct de plecare ideal pentru cei care sunt noi în domeniul programării 3D sau OpenGL.</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"An Introduction to OpenGL Programming" de SIGGRAPH University:</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Acest curs video de la SIGGRAPH University oferă o prezentare mai cuprinzătoare a programării OpenGL. Cu ajutorul lecțiilor video, utilizatorii pot învăța cum să dezvolte aplicații grafice 3D complexe și să aprofundeze tehnici avansate.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6"/>
          <w:szCs w:val="26"/>
          <w:highlight w:val="white"/>
        </w:rPr>
      </w:pPr>
      <w:r w:rsidDel="00000000" w:rsidR="00000000" w:rsidRPr="00000000">
        <w:rPr>
          <w:rFonts w:ascii="Roboto" w:cs="Roboto" w:eastAsia="Roboto" w:hAnsi="Roboto"/>
          <w:color w:val="d1d5db"/>
          <w:sz w:val="24"/>
          <w:szCs w:val="24"/>
          <w:highlight w:val="white"/>
          <w:rtl w:val="0"/>
        </w:rPr>
        <w:t xml:space="preserve">"</w:t>
      </w:r>
      <w:r w:rsidDel="00000000" w:rsidR="00000000" w:rsidRPr="00000000">
        <w:rPr>
          <w:rFonts w:ascii="Roboto" w:cs="Roboto" w:eastAsia="Roboto" w:hAnsi="Roboto"/>
          <w:sz w:val="26"/>
          <w:szCs w:val="26"/>
          <w:highlight w:val="white"/>
          <w:rtl w:val="0"/>
        </w:rPr>
        <w:t xml:space="preserve">Vulkan and LunarG Explained" (2018) (/video): </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Acest videoclip explică Vulkan și LunarG, tehnologii legate de OpenGL, care sunt dezvoltate pentru a oferi performanță grafică îmbunătățită. Cunoașterea acestor tehnologii este importantă pentru dezvoltatorii care doresc să exploreze opțiuni alternative și să obțină performanțe superioare în aplicațiile lor grafice.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În opinia mea, OpenGL Tutors Pack este o resursă valoroasă pentru cei care doresc să învețe sau să-și aprofundeze cunoștințele în programarea 3D și OpenGL.  Aceste materiale educaționale oferă o combinație echilibrată între teorie și practică, iar faptul că există cărți, transcrieri offline și videoclipuri oferă multiple modalități de învățare, astfel încât utilizatorii să poată alege ce se potrivește cel mai bine stilului lor de învățare.</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8"/>
          <w:szCs w:val="28"/>
          <w:highlight w:val="white"/>
        </w:rPr>
      </w:pPr>
      <w:r w:rsidDel="00000000" w:rsidR="00000000" w:rsidRPr="00000000">
        <w:rPr>
          <w:rFonts w:ascii="Roboto" w:cs="Roboto" w:eastAsia="Roboto" w:hAnsi="Roboto"/>
          <w:sz w:val="26"/>
          <w:szCs w:val="26"/>
          <w:highlight w:val="white"/>
          <w:rtl w:val="0"/>
        </w:rPr>
        <w:t xml:space="preserve">O concluzie ce putem sa tragem este ca</w:t>
      </w:r>
      <w:r w:rsidDel="00000000" w:rsidR="00000000" w:rsidRPr="00000000">
        <w:rPr>
          <w:rFonts w:ascii="Roboto" w:cs="Roboto" w:eastAsia="Roboto" w:hAnsi="Roboto"/>
          <w:color w:val="d1d5db"/>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OpenGL Tutors Pack reprezintă un </w:t>
      </w:r>
      <w:r w:rsidDel="00000000" w:rsidR="00000000" w:rsidRPr="00000000">
        <w:rPr>
          <w:rFonts w:ascii="Roboto" w:cs="Roboto" w:eastAsia="Roboto" w:hAnsi="Roboto"/>
          <w:sz w:val="26"/>
          <w:szCs w:val="26"/>
          <w:highlight w:val="white"/>
          <w:rtl w:val="0"/>
        </w:rPr>
        <w:t xml:space="preserve">instrument excelent pentru învățarea programării 3D și OpenGL, dar este necesar să fie completat cu studiu continuu și explorare a noilor tehnologii pentru a rămâne relevant în industrie</w:t>
      </w: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