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para avanzar en la</w:t>
        <w:br/>
        <w:t>evaluación parcial 2</w:t>
      </w:r>
    </w:p>
    <w:p>
      <w:pPr>
        <w:pStyle w:val="Subtitle"/>
      </w:pPr>
      <w:r>
        <w:t>Arquitectura Cloud ARY1102</w:t>
      </w:r>
    </w:p>
    <w:p>
      <w:r>
        <w:t>Modernización de FreshBox SpA con Amazon EKS y Amazon RDS</w:t>
      </w:r>
    </w:p>
    <w:p>
      <w:r>
        <w:t>Esta guía te ayuda a organizar el trabajo, comprobar tus avances y preparar la entrega. Tu objetivo es modernizar la plataforma de FreshBox conservando la consulta, creación, modificación y eliminación de productos.</w:t>
      </w:r>
    </w:p>
    <w:p>
      <w:r>
        <w:t>Utiliza esta guía junto con la rúbrica de EP2. Para desarrollar la solución, aplica los parámetros definidos aquí: cinco Deployments con dos réplicas iniciales cada uno y RDS db.t4g.small. Estos valores unifican las diferencias entre las PPT y el enunciado. Las ponderaciones y los entregables se mantienen.</w:t>
      </w:r>
    </w:p>
    <w:tbl>
      <w:tblPr>
        <w:tblW w:type="auto" w:w="0"/>
        <w:jc w:val="center"/>
        <w:tblLayout w:type="fixed"/>
        <w:tblLook w:firstColumn="1" w:firstRow="1" w:lastColumn="0" w:lastRow="0" w:noHBand="0" w:noVBand="1" w:val="04A0"/>
      </w:tblPr>
      <w:tblGrid>
        <w:gridCol w:w="2376"/>
        <w:gridCol w:w="7128"/>
      </w:tblGrid>
      <w:tr>
        <w:trPr>
          <w:cantSplit/>
          <w:tblHeader/>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Condición</w:t>
            </w:r>
          </w:p>
        </w:tc>
        <w:tc>
          <w:tcPr>
            <w:tcW w:type="dxa" w:w="71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Evaluación EP2</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Modalidad</w:t>
            </w:r>
          </w:p>
        </w:tc>
        <w:tc>
          <w:tcPr>
            <w:tcW w:type="dxa" w:w="71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Individual</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Ponderación</w:t>
            </w:r>
          </w:p>
        </w:tc>
        <w:tc>
          <w:tcPr>
            <w:tcW w:type="dxa" w:w="71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30% de la asignatura</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Informe técnico</w:t>
            </w:r>
          </w:p>
        </w:tc>
        <w:tc>
          <w:tcPr>
            <w:tcW w:type="dxa" w:w="71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40% de EP2 · PDF o Word · máximo 20 páginas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Defensa y demostración</w:t>
            </w:r>
          </w:p>
        </w:tc>
        <w:tc>
          <w:tcPr>
            <w:tcW w:type="dxa" w:w="71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60% de EP2 · PowerPoint y consola AWS · 10 minutos</w:t>
            </w:r>
          </w:p>
        </w:tc>
      </w:tr>
      <w:tr>
        <w:trPr>
          <w:cantSplit/>
        </w:trPr>
        <w:tc>
          <w:tcPr>
            <w:tcW w:type="dxa" w:w="237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Plazo</w:t>
            </w:r>
          </w:p>
        </w:tc>
        <w:tc>
          <w:tcPr>
            <w:tcW w:type="dxa" w:w="71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r>
              <w:t>Inicio en semana 10 y entrega en semana 11, en la fecha y hora publicadas en AVA.</w:t>
            </w:r>
          </w:p>
        </w:tc>
      </w:tr>
    </w:tbl>
    <w:p>
      <w:pPr>
        <w:pStyle w:val="Heading2"/>
      </w:pPr>
      <w:r>
        <w:t>La ruta de trabajo</w:t>
      </w:r>
    </w:p>
    <w:p>
      <w:r>
        <w:t>1. Comprende el caso y compara la solución actual con la propuesta.</w:t>
      </w:r>
    </w:p>
    <w:p>
      <w:r>
        <w:t>2. Diseña la arquitectura y explica tus decisiones.</w:t>
      </w:r>
    </w:p>
    <w:p>
      <w:r>
        <w:t>3. Implementa por etapas y verifica cada componente.</w:t>
      </w:r>
    </w:p>
    <w:p>
      <w:r>
        <w:t>4. Comprueba el CRUD, el escalamiento y el monitoreo.</w:t>
      </w:r>
    </w:p>
    <w:p>
      <w:r>
        <w:t>5. Consolida el informe y ensaya la demostración.</w:t>
      </w:r>
    </w:p>
    <w:p>
      <w:pPr>
        <w:pStyle w:val="Heading2"/>
      </w:pPr>
      <w:r>
        <w:t>Antes de comenzar</w:t>
      </w:r>
    </w:p>
    <w:p>
      <w:r>
        <w:t>Verifica tu acceso a AWS Academy Learner Lab y descarga desde AVA la aplicación, el script SQL y los manifiestos de apoyo. Crea una carpeta para el informe, el diagrama, la presentación y las evidencias. Guarda los resultados durante el trabajo, no solo al finalizar.</w:t>
      </w:r>
    </w:p>
    <w:p>
      <w:r>
        <w:br w:type="page"/>
      </w:r>
    </w:p>
    <w:p>
      <w:pPr>
        <w:pStyle w:val="Heading1"/>
      </w:pPr>
      <w:r>
        <w:t>1 Analiza el caso y diseña la solución</w:t>
      </w:r>
    </w:p>
    <w:p>
      <w:pPr>
        <w:pStyle w:val="Heading2"/>
      </w:pPr>
      <w:r>
        <w:t>Comprende qué problema debes resolver</w:t>
      </w:r>
    </w:p>
    <w:p>
      <w:r>
        <w:t>FreshBox utiliza EC2 con contenedores administrados manualmente y MySQL en EC2. Explica qué dificultades produce esta situación y cómo una solución con EKS y RDS Multi-AZ puede mejorar la operación del negocio.</w:t>
      </w:r>
    </w:p>
    <w:p>
      <w:pPr>
        <w:pStyle w:val="ListBullet"/>
      </w:pPr>
      <w:r>
        <w:t>Compara costos, operación, escalabilidad, rendimiento y disponibilidad. Incluye ventajas y limitaciones de ambos enfoques.</w:t>
      </w:r>
    </w:p>
    <w:p>
      <w:pPr>
        <w:pStyle w:val="ListBullet"/>
      </w:pPr>
      <w:r>
        <w:t>Relaciona cada decisión con una necesidad del caso. Por ejemplo, explica cómo la recuperación de la base de datos afecta la continuidad de las ventas.</w:t>
      </w:r>
    </w:p>
    <w:p>
      <w:pPr>
        <w:pStyle w:val="ListBullet"/>
      </w:pPr>
      <w:r>
        <w:t>Distingue el costo de los recursos cloud del esfuerzo de administración. Si usas estimaciones, indica sus supuestos y fuente.</w:t>
      </w:r>
    </w:p>
    <w:p>
      <w:r>
        <w:t>Avance esperado: una tabla comparativa y una recomendación fundamentada para desarrollar los apartados 1.1 y 1.2 del informe.</w:t>
      </w:r>
    </w:p>
    <w:p>
      <w:pPr>
        <w:pStyle w:val="Heading2"/>
      </w:pPr>
      <w:r>
        <w:t>Dibuja antes de desplegar</w:t>
      </w:r>
    </w:p>
    <w:p>
      <w:r>
        <w:t>Representa la solución TO-BE en un diagrama legible. Identifica dos zonas de disponibilidad, las tres capas y el recorrido de las solicitudes.</w:t>
      </w:r>
    </w:p>
    <w:tbl>
      <w:tblPr>
        <w:tblW w:type="auto" w:w="0"/>
        <w:jc w:val="center"/>
        <w:tblLayout w:type="fixed"/>
        <w:tblLook w:firstColumn="1" w:firstRow="1" w:lastColumn="0" w:lastRow="0" w:noHBand="0" w:noVBand="1" w:val="04A0"/>
      </w:tblPr>
      <w:tblGrid>
        <w:gridCol w:w="2232"/>
        <w:gridCol w:w="7272"/>
      </w:tblGrid>
      <w:tr>
        <w:trPr>
          <w:cantSplit/>
          <w:tblHeader/>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Elemento</w:t>
            </w:r>
          </w:p>
        </w:tc>
        <w:tc>
          <w:tcPr>
            <w:tcW w:type="dxa" w:w="72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Qué debe quedar claro</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Red y capas</w:t>
            </w:r>
          </w:p>
        </w:tc>
        <w:tc>
          <w:tcPr>
            <w:tcW w:type="dxa" w:w="72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r>
              <w:t>VPC 10.0.0.0/22. Subredes /25: públicas 10.0.0.0 y 10.0.0.128; aplicación 10.0.1.0 y 10.0.1.128; datos 10.0.2.0 y 10.0.2.128. Distribuye cada par entre dos zonas.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Entrada y aplicación</w:t>
            </w:r>
          </w:p>
        </w:tc>
        <w:tc>
          <w:tcPr>
            <w:tcW w:type="dxa" w:w="72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ALB Ingress, clúster EKS, Node Group y los cinco componentes de la aplicación.</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Datos e imágenes</w:t>
            </w:r>
          </w:p>
        </w:tc>
        <w:tc>
          <w:tcPr>
            <w:tcW w:type="dxa" w:w="72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RDS MySQL Multi-AZ y ECR para las imágenes Docker.</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Protección y operación</w:t>
            </w:r>
          </w:p>
        </w:tc>
        <w:tc>
          <w:tcPr>
            <w:tcW w:type="dxa" w:w="72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Security Groups, cifrado EBS/RDS, HPA y Container Insights.</w:t>
            </w:r>
          </w:p>
        </w:tc>
      </w:tr>
      <w:tr>
        <w:trPr>
          <w:cantSplit/>
        </w:trPr>
        <w:tc>
          <w:tcPr>
            <w:tcW w:type="dxa" w:w="22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Conexiones</w:t>
            </w:r>
          </w:p>
        </w:tc>
        <w:tc>
          <w:tcPr>
            <w:tcW w:type="dxa" w:w="72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r>
              <w:t>ALB a frontend por 80 y a backend por 3001–3004, según el Service. Aplicación a RDS por 3306. Representa también la comunicación necesaria del clúster.</w:t>
            </w:r>
          </w:p>
        </w:tc>
      </w:tr>
    </w:tbl>
    <w:p>
      <w:pPr>
        <w:pStyle w:val="Heading2"/>
      </w:pPr>
      <w:r>
        <w:t>Explica cómo se integran los mecanismos</w:t>
      </w:r>
    </w:p>
    <w:p>
      <w:r>
        <w:t>En el apartado 1.3 fundamenta la escalabilidad automática, la seguridad y la alta disponibilidad. Explica para qué sirve cada mecanismo y cómo trabaja con los demás. Un listado de servicios no reemplaza esta explicación.</w:t>
      </w:r>
    </w:p>
    <w:p>
      <w:r>
        <w:t>Antes de avanzar: debes poder recorrer tu diagrama desde el usuario hasta RDS y explicar qué ocurre ante mayor demanda o una falla.</w:t>
      </w:r>
    </w:p>
    <w:p>
      <w:r>
        <w:br w:type="page"/>
      </w:r>
    </w:p>
    <w:p>
      <w:pPr>
        <w:pStyle w:val="Heading1"/>
      </w:pPr>
      <w:r>
        <w:t>2 Implementa por etapas</w:t>
      </w:r>
    </w:p>
    <w:p>
      <w:r>
        <w:t>Sigue este orden sugerido. Comprueba cada etapa antes de continuar y conserva una captura o salida de comando que identifique el resultado.</w:t>
      </w:r>
    </w:p>
    <w:tbl>
      <w:tblPr>
        <w:tblW w:type="auto" w:w="0"/>
        <w:jc w:val="center"/>
        <w:tblLayout w:type="fixed"/>
        <w:tblLook w:firstColumn="1" w:firstRow="1" w:lastColumn="0" w:lastRow="0" w:noHBand="0" w:noVBand="1" w:val="04A0"/>
      </w:tblPr>
      <w:tblGrid>
        <w:gridCol w:w="1944"/>
        <w:gridCol w:w="7560"/>
      </w:tblGrid>
      <w:tr>
        <w:trPr>
          <w:cantSplit/>
          <w:tblHeader/>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Etapa</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Trabajo y comprobación</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1 Red y seguridad</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r>
              <w:t>Prepara seis subredes en dos zonas, rutas, IGW y salida NAT para la aplicación. Permite acceso público al ALB, acceso a la aplicación desde el ALB y a RDS desde la aplicación.</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2 Base de datos</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Configura RDS MySQL Multi-AZ según el enunciado y carga o migra los datos. Comprueba disponibilidad y conectividad desde la capa de aplicación.</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3 Imágenes</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Construye las cinco imágenes y publícalas en ECR. Verifica nombres, etiquetas y compatibilidad con los nodos.</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4 Clúster y nodos</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Prepara EKS y el Node Group. Comprueba el acceso con kubectl y que los nodos estén operativos.</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5 Aplicación</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r>
              <w:t>Crea Namespace, ConfigMap y Secret. Aplica cinco Deployments y cinco Services ClusterIP. Usa imágenes ARM64, dos réplicas iniciales y requests/limits por contenedor.</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6 Acceso externo</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Configura el controlador y ALB Ingress. Comprueba su dirección y abre el frontend desde el navegador.</w:t>
            </w:r>
          </w:p>
        </w:tc>
      </w:tr>
      <w:tr>
        <w:trPr>
          <w:cantSplit/>
        </w:trPr>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7 Escalamiento y métricas</w:t>
            </w:r>
          </w:p>
        </w:tc>
        <w:tc>
          <w:tcPr>
            <w:tcW w:type="dxa" w:w="756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Configura HPA y Container Insights. Comprueba las métricas y prepara una prueba de carga controlada.</w:t>
            </w:r>
          </w:p>
        </w:tc>
      </w:tr>
    </w:tbl>
    <w:p>
      <w:pPr>
        <w:pStyle w:val="Heading2"/>
      </w:pPr>
      <w:r>
        <w:t>Implementa cinco componentes y diez réplicas iniciales</w:t>
      </w:r>
    </w:p>
    <w:p>
      <w:r>
        <w:t>Implementa cinco Deployments: frontend, get-products, create-product, update-product y delete-product. Configura dos réplicas iniciales por Deployment: diez pods de aplicación en total, sin contar los pods del sistema. Distribuye las réplicas entre los nodos de las dos zonas de disponibilidad. Durante el escalamiento, el total de pods puede aumentar.</w:t>
      </w:r>
    </w:p>
    <w:p>
      <w:pPr>
        <w:pStyle w:val="Heading2"/>
      </w:pPr>
      <w:r>
        <w:t>Aplica estos parámetros de implementación</w:t>
      </w:r>
    </w:p>
    <w:p>
      <w:r>
        <w:t>Utiliza RDS MySQL db.t4g.small en Multi-AZ, con cifrado y respaldos automáticos. Configura un Node Group t4g.small con mínimo dos y máximo cuatro nodos en total, distribuido entre dos zonas. Configura HPA para los Deployments de aplicación con mínimo dos, máximo cinco réplicas y objetivo de CPU del 70%. Define requests de CPU y verifica que las métricas estén disponibles.</w:t>
      </w:r>
    </w:p>
    <w:p>
      <w:r>
        <w:t>Separa la configuración con ConfigMap y las credenciales con Secret. Adapta nombres, región y referencias a FreshBox. No muestres contraseñas en las evidencias. Si una acción falla, registra el error, revisa permisos, configuración y disponibilidad del servicio, corrige y repite la prueba. Si persiste una restricción del laboratorio, documenta el requisito pendiente y su impacto; no lo declares implementado.</w:t>
      </w:r>
    </w:p>
    <w:p>
      <w:r>
        <w:br w:type="page"/>
      </w:r>
    </w:p>
    <w:p>
      <w:pPr>
        <w:pStyle w:val="Heading1"/>
      </w:pPr>
      <w:r>
        <w:t>3 Valida y reúne tus evidencias</w:t>
      </w:r>
    </w:p>
    <w:p>
      <w:r>
        <w:t>Una infraestructura creada no demuestra por sí sola que la solución funciona. Recorre el flujo completo desde el navegador o cliente HTTP hasta la base de datos.</w:t>
      </w:r>
    </w:p>
    <w:tbl>
      <w:tblPr>
        <w:tblW w:type="auto" w:w="0"/>
        <w:jc w:val="center"/>
        <w:tblLayout w:type="fixed"/>
        <w:tblLook w:firstColumn="1" w:firstRow="1" w:lastColumn="0" w:lastRow="0" w:noHBand="0" w:noVBand="1" w:val="04A0"/>
      </w:tblPr>
      <w:tblGrid>
        <w:gridCol w:w="2016"/>
        <w:gridCol w:w="7488"/>
      </w:tblGrid>
      <w:tr>
        <w:trPr>
          <w:cantSplit/>
          <w:tblHeader/>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Prueba</w:t>
            </w:r>
          </w:p>
        </w:tc>
        <w:tc>
          <w:tcPr>
            <w:tcW w:type="dxa" w:w="74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Resultado que debes observar</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GET consultar</w:t>
            </w:r>
          </w:p>
        </w:tc>
        <w:tc>
          <w:tcPr>
            <w:tcW w:type="dxa" w:w="74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El catálogo muestra los productos almacenados.</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POST crear</w:t>
            </w:r>
          </w:p>
        </w:tc>
        <w:tc>
          <w:tcPr>
            <w:tcW w:type="dxa" w:w="74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Creas un producto de prueba y lo recuperas mediante una consulta posterior.</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PUT modificar</w:t>
            </w:r>
          </w:p>
        </w:tc>
        <w:tc>
          <w:tcPr>
            <w:tcW w:type="dxa" w:w="74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Modificas ese producto y confirmas que el cambio quedó guardado.</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DELETE eliminar</w:t>
            </w:r>
          </w:p>
        </w:tc>
        <w:tc>
          <w:tcPr>
            <w:tcW w:type="dxa" w:w="74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Eliminas el producto de prueba y compruebas que ya no aparece.</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HPA</w:t>
            </w:r>
          </w:p>
        </w:tc>
        <w:tc>
          <w:tcPr>
            <w:tcW w:type="dxa" w:w="74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Observas las métricas y el comportamiento de las réplicas durante una carga controlada.</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Monitoreo</w:t>
            </w:r>
          </w:p>
        </w:tc>
        <w:tc>
          <w:tcPr>
            <w:tcW w:type="dxa" w:w="74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Container Insights muestra métricas del entorno y puedes explicar qué significan.</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Infraestructura</w:t>
            </w:r>
          </w:p>
        </w:tc>
        <w:tc>
          <w:tcPr>
            <w:tcW w:type="dxa" w:w="74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EKS y los nodos están operativos; RDS muestra su configuración Multi-AZ.</w:t>
            </w:r>
          </w:p>
        </w:tc>
      </w:tr>
    </w:tbl>
    <w:p>
      <w:pPr>
        <w:pStyle w:val="Heading2"/>
      </w:pPr>
      <w:r>
        <w:t>Registra qué comprobaste</w:t>
      </w:r>
    </w:p>
    <w:p>
      <w:r>
        <w:t>Para cada prueba anota: acción realizada, resultado esperado, resultado obtenido y evidencia. Usa productos de prueba que puedas crear y eliminar sin afectar otros datos. Guarda las evidencias con nombres reconocibles, por ejemplo, 01_eks_nodos y 02_crud_creacion.</w:t>
      </w:r>
    </w:p>
    <w:p>
      <w:pPr>
        <w:pStyle w:val="Heading2"/>
      </w:pPr>
      <w:r>
        <w:t>Cómo demostrar el escalamiento</w:t>
      </w:r>
    </w:p>
    <w:p>
      <w:r>
        <w:t>Registra el estado inicial del HPA y sus réplicas. Genera carga, observa las métricas y el cambio de estado, y detén la prueba al terminar. Si no escala, revisa métricas, configuración y carga antes de concluir. No presentes solo el archivo YAML como prueba de funcionamiento.</w:t>
      </w:r>
    </w:p>
    <w:p>
      <w:pPr>
        <w:pStyle w:val="Heading2"/>
      </w:pPr>
      <w:r>
        <w:t>Qué debes saber explicar</w:t>
      </w:r>
    </w:p>
    <w:p>
      <w:pPr>
        <w:pStyle w:val="ListBullet"/>
      </w:pPr>
      <w:r>
        <w:t>Qué diferencia existe entre escalar réplicas de aplicación y escalar nodos.</w:t>
      </w:r>
    </w:p>
    <w:p>
      <w:pPr>
        <w:pStyle w:val="ListBullet"/>
      </w:pPr>
      <w:r>
        <w:t>Cómo se conecta la aplicación con RDS y qué controles limitan ese acceso.</w:t>
      </w:r>
    </w:p>
    <w:p>
      <w:pPr>
        <w:pStyle w:val="ListBullet"/>
      </w:pPr>
      <w:r>
        <w:t>Qué aportan Multi-AZ, los respaldos y la distribución de cargas a la disponibilidad.</w:t>
      </w:r>
    </w:p>
    <w:p>
      <w:pPr>
        <w:pStyle w:val="ListBullet"/>
      </w:pPr>
      <w:r>
        <w:t>Qué problema detectaste durante las pruebas y cómo verificaste su solución.</w:t>
      </w:r>
    </w:p>
    <w:p>
      <w:r>
        <w:t>Antes de avanzar: completa el CRUD de principio a fin y asegúrate de que tus evidencias correspondan a la versión que presentarás.</w:t>
      </w:r>
    </w:p>
    <w:p>
      <w:r>
        <w:br w:type="page"/>
      </w:r>
    </w:p>
    <w:p>
      <w:pPr>
        <w:pStyle w:val="Heading1"/>
      </w:pPr>
      <w:r>
        <w:t>4 Prepara la entrega y la defensa</w:t>
      </w:r>
    </w:p>
    <w:p>
      <w:pPr>
        <w:pStyle w:val="Heading2"/>
      </w:pPr>
      <w:r>
        <w:t>Ordena el informe técnico</w:t>
      </w:r>
    </w:p>
    <w:p>
      <w:r>
        <w:t>Entrega un único PDF o Word de máximo 20 páginas: portada con nombre, sección y fecha; índice; introducción; desarrollo de los puntos 1.1, 1.2 y 1.3; conclusiones; y bibliografía APA 7. Utiliza diagramas y capturas legibles cuando aporten evidencia. Explica qué demuestra cada imagen.</w:t>
      </w:r>
    </w:p>
    <w:p>
      <w:pPr>
        <w:pStyle w:val="Heading2"/>
      </w:pPr>
      <w:r>
        <w:t>Ensaya los 10 minutos</w:t>
      </w:r>
    </w:p>
    <w:tbl>
      <w:tblPr>
        <w:tblW w:type="auto" w:w="0"/>
        <w:jc w:val="center"/>
        <w:tblLayout w:type="fixed"/>
        <w:tblLook w:firstColumn="1" w:firstRow="1" w:lastColumn="0" w:lastRow="0" w:noHBand="0" w:noVBand="1" w:val="04A0"/>
      </w:tblPr>
      <w:tblGrid>
        <w:gridCol w:w="2088"/>
        <w:gridCol w:w="7416"/>
      </w:tblGrid>
      <w:tr>
        <w:trPr>
          <w:cantSplit/>
          <w:tblHeader/>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Tiempo sugerido</w:t>
            </w:r>
          </w:p>
        </w:tc>
        <w:tc>
          <w:tcPr>
            <w:tcW w:type="dxa" w:w="74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Contenido</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1 minuto</w:t>
            </w:r>
          </w:p>
        </w:tc>
        <w:tc>
          <w:tcPr>
            <w:tcW w:type="dxa" w:w="74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Problema de FreshBox y justificación de la modernización.</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2 minutos</w:t>
            </w:r>
          </w:p>
        </w:tc>
        <w:tc>
          <w:tcPr>
            <w:tcW w:type="dxa" w:w="74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Diagrama y decisiones de arquitectura.</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4 minutos</w:t>
            </w:r>
          </w:p>
        </w:tc>
        <w:tc>
          <w:tcPr>
            <w:tcW w:type="dxa" w:w="74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Infraestructura y demostración del CRUD.</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2 minutos</w:t>
            </w:r>
          </w:p>
        </w:tc>
        <w:tc>
          <w:tcPr>
            <w:tcW w:type="dxa" w:w="74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Escalamiento y monitoreo.</w:t>
            </w:r>
          </w:p>
        </w:tc>
      </w:tr>
      <w:tr>
        <w:trPr>
          <w:cantSplit/>
        </w:trPr>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1 minuto</w:t>
            </w:r>
          </w:p>
        </w:tc>
        <w:tc>
          <w:tcPr>
            <w:tcW w:type="dxa" w:w="74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Conclusiones y limitaciones.</w:t>
            </w:r>
          </w:p>
        </w:tc>
      </w:tr>
    </w:tbl>
    <w:p>
      <w:pPr>
        <w:pStyle w:val="Heading2"/>
      </w:pPr>
      <w:r>
        <w:t>Relaciona el trabajo con la rúbrica</w:t>
      </w:r>
    </w:p>
    <w:tbl>
      <w:tblPr>
        <w:tblW w:type="auto" w:w="0"/>
        <w:jc w:val="center"/>
        <w:tblLayout w:type="fixed"/>
        <w:tblLook w:firstColumn="1" w:firstRow="1" w:lastColumn="0" w:lastRow="0" w:noHBand="0" w:noVBand="1" w:val="04A0"/>
      </w:tblPr>
      <w:tblGrid>
        <w:gridCol w:w="7632"/>
        <w:gridCol w:w="1872"/>
      </w:tblGrid>
      <w:tr>
        <w:trPr>
          <w:cantSplit/>
          <w:tblHeader/>
        </w:trPr>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Criterio</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7365D"/>
          </w:tcPr>
          <w:p>
            <w:pPr>
              <w:spacing w:after="60" w:line="245" w:lineRule="auto"/>
            </w:pPr>
            <w:r>
              <w:rPr>
                <w:b/>
                <w:color w:val="FFFFFF"/>
                <w:sz w:val="20"/>
              </w:rPr>
              <w:t>Peso en EP2</w:t>
            </w:r>
          </w:p>
        </w:tc>
      </w:tr>
      <w:tr>
        <w:trPr>
          <w:cantSplit/>
        </w:trPr>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Comparación de arquitecturas</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10%</w:t>
            </w:r>
          </w:p>
        </w:tc>
      </w:tr>
      <w:tr>
        <w:trPr>
          <w:cantSplit/>
        </w:trPr>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Estrategia de modernización</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10%</w:t>
            </w:r>
          </w:p>
        </w:tc>
      </w:tr>
      <w:tr>
        <w:trPr>
          <w:cantSplit/>
        </w:trPr>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Fundamentación de escalabilidad seguridad y alta disponibilidad</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20%</w:t>
            </w:r>
          </w:p>
        </w:tc>
      </w:tr>
      <w:tr>
        <w:trPr>
          <w:cantSplit/>
        </w:trPr>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Diseño de arquitectura</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20%</w:t>
            </w:r>
          </w:p>
        </w:tc>
      </w:tr>
      <w:tr>
        <w:trPr>
          <w:cantSplit/>
        </w:trPr>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Despliegue de infraestructura</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2F5F8"/>
          </w:tcPr>
          <w:p>
            <w:pPr>
              <w:spacing w:after="60" w:line="245" w:lineRule="auto"/>
            </w:pPr>
            <w:r>
              <w:rPr>
                <w:b w:val="0"/>
                <w:color w:val="000000"/>
                <w:sz w:val="20"/>
              </w:rPr>
              <w:t>30%</w:t>
            </w:r>
          </w:p>
        </w:tc>
      </w:tr>
      <w:tr>
        <w:trPr>
          <w:cantSplit/>
        </w:trPr>
        <w:tc>
          <w:tcPr>
            <w:tcW w:type="dxa" w:w="76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Monitoreo automatización y validación</w:t>
            </w:r>
          </w:p>
        </w:tc>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60" w:line="245" w:lineRule="auto"/>
            </w:pPr>
            <w:r>
              <w:rPr>
                <w:b w:val="0"/>
                <w:color w:val="000000"/>
                <w:sz w:val="20"/>
              </w:rPr>
              <w:t>10%</w:t>
            </w:r>
          </w:p>
        </w:tc>
      </w:tr>
    </w:tbl>
    <w:p>
      <w:pPr>
        <w:pStyle w:val="Heading2"/>
      </w:pPr>
      <w:r>
        <w:t>Comprobación final</w:t>
      </w:r>
    </w:p>
    <w:p>
      <w:r>
        <w:t>Antes de entregar, verifica que el informe cumpla el formato, el diagrama coincida con lo implementado y las referencias estén completas. Antes de presentar, abre PowerPoint, la consola AWS y la aplicación; comprueba que el laboratorio y los recursos estén activos. Ensaya con cronómetro y prepara las evidencias para encontrarlas rápidamente.</w:t>
      </w:r>
    </w:p>
    <w:p>
      <w:r>
        <w:rPr>
          <w:sz w:val="18"/>
        </w:rPr>
        <w:t>Material de apoyo: enunciado Evaluación Parcial 2 ARY1102 y presentaciones 2.1.1, 2.2.1 y 2.3.1 de EA2, disponibles en AVA. Consulta la rúbrica oficial para los descriptores completos de desempeño.</w:t>
      </w:r>
    </w:p>
    <w:sectPr w:rsidR="00FC693F" w:rsidRPr="0006063C" w:rsidSect="00034616">
      <w:headerReference w:type="default" r:id="rId9"/>
      <w:footerReference w:type="default" r:id="rId10"/>
      <w:pgSz w:w="11909" w:h="16834"/>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ARY1102 · Guía de avance EP2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234440" cy="356859"/>
          <wp:docPr id="1" name="Picture 1"/>
          <wp:cNvGraphicFramePr>
            <a:graphicFrameLocks noChangeAspect="1"/>
          </wp:cNvGraphicFramePr>
          <a:graphic>
            <a:graphicData uri="http://schemas.openxmlformats.org/drawingml/2006/picture">
              <pic:pic>
                <pic:nvPicPr>
                  <pic:cNvPr id="0" name="duoc-1.png"/>
                  <pic:cNvPicPr/>
                </pic:nvPicPr>
                <pic:blipFill>
                  <a:blip r:embed="rId1"/>
                  <a:stretch>
                    <a:fillRect/>
                  </a:stretch>
                </pic:blipFill>
                <pic:spPr>
                  <a:xfrm>
                    <a:off x="0" y="0"/>
                    <a:ext cx="1234440" cy="35685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avanzar en la evaluación parcial 2</dc:title>
  <dc:subject>Arquitectura Cloud ARY1102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