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before="40" w:after="0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2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2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2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 w:hanging="0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Cristóbal Santiago Cabezas Espinoza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 w:themeColor="background2" w:themeShade="80"/>
                <w:kern w:val="0"/>
                <w:sz w:val="24"/>
                <w:szCs w:val="24"/>
                <w:lang w:val="es-CL" w:eastAsia="en-US" w:bidi="ar-SA"/>
              </w:rPr>
              <w:t>Carrera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4"/>
                <w:szCs w:val="24"/>
                <w:lang w:val="es-CL" w:eastAsia="en-US" w:bidi="ar-SA"/>
              </w:rPr>
              <w:t>Ingeniería en Informática (V)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1446114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 w:hanging="0"/>
        <w:jc w:val="both"/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pPr>
      <w:r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pPr>
      <w:r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r>
    </w:p>
    <w:p>
      <w:pPr>
        <w:pStyle w:val="ListParagraph"/>
        <w:ind w:left="435" w:hanging="0"/>
        <w:rPr/>
      </w:pPr>
      <w:r>
        <w:rPr/>
      </w:r>
    </w:p>
    <w:tbl>
      <w:tblPr>
        <w:tblStyle w:val="Tablaconcuadrcula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1"/>
        <w:gridCol w:w="1017"/>
        <w:gridCol w:w="925"/>
        <w:gridCol w:w="1055"/>
        <w:gridCol w:w="1187"/>
        <w:gridCol w:w="1250"/>
        <w:gridCol w:w="255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9922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Competencias de Especialidad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9922" w:type="dxa"/>
            <w:gridSpan w:val="7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Competencias Genéricas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Resolver situaciones problemáticas  de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Resolver situaciones problemáticas  de la vida cotidiana, ámbito científico y mundo laboral, utilizando elementos de la estadística descriptiva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Comunicarse de forma oral y escrita usando el idioma inglés en situaciones socio-laborales a un nivel intermedio alto en modalidad intensiva, según la tabla de competencias TOEIC Y CEFR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Comunicarse  usando el idioma inglés en situaciones laborales a un nivel intermedio, relacionado con el área de informática y desarrollo de  habilidades comunicativas, según la tabla de competencias TOEIC y CEFR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Desarrollar proyectos de emprendimiento a partir de la identificación de oportunidades desde su especialidad, aplicando técnicas afines al objetivo, con foco en agregar valor al entorno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val="auto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ListParagraph"/>
        <w:ind w:left="435" w:hanging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entury Gothic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5268452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9525" distB="0" distL="9525" distR="9525" simplePos="0" locked="0" layoutInCell="0" allowOverlap="1" relativeHeight="8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20.8pt;width:610.55pt;height:15.05pt" coordorigin="14,416" coordsize="12211,301">
    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31" style="position:absolute;left:14;top:416;width:12211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2959003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9525" distB="0" distL="9525" distR="9525" simplePos="0" locked="0" layoutInCell="0" allowOverlap="1" relativeHeight="8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4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20.8pt;width:610.55pt;height:15.05pt" coordorigin="14,416" coordsize="12211,301">
    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31" style="position:absolute;left:14;top:416;width:12211;height:231">
    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 Black" w:hAnsi="Arial Black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7</Pages>
  <Words>779</Words>
  <Characters>4450</Characters>
  <CharactersWithSpaces>5159</CharactersWithSpaces>
  <Paragraphs>83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es-CL</dc:language>
  <cp:lastModifiedBy/>
  <cp:lastPrinted>2019-12-16T20:10:00Z</cp:lastPrinted>
  <dcterms:modified xsi:type="dcterms:W3CDTF">2024-08-27T16:50:18Z</dcterms:modified>
  <cp:revision>25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