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jc w:val="center"/>
      </w:pPr>
      <w:r>
        <w:rPr>
          <w:b/>
          <w:bCs/>
          <w:color w:val="1A5276"/>
          <w:sz w:val="44"/>
          <w:szCs w:val="44"/>
        </w:rPr>
        <w:t xml:space="preserve">TRATO HECHO</w:t>
      </w:r>
    </w:p>
    <w:p>
      <w:pPr>
        <w:spacing w:after="40"/>
        <w:jc w:val="center"/>
      </w:pPr>
      <w:r>
        <w:rPr>
          <w:b/>
          <w:bCs/>
          <w:color w:val="000000"/>
          <w:sz w:val="32"/>
          <w:szCs w:val="32"/>
        </w:rPr>
        <w:t xml:space="preserve">Plan de Pruebas — Evaluación RAGAS Manual</w:t>
      </w:r>
    </w:p>
    <w:p>
      <w:pPr>
        <w:spacing w:after="300"/>
        <w:jc w:val="center"/>
      </w:pPr>
      <w:r>
        <w:rPr>
          <w:i/>
          <w:iCs/>
          <w:color w:val="595959"/>
          <w:sz w:val="21"/>
          <w:szCs w:val="21"/>
        </w:rPr>
        <w:t xml:space="preserve">Metodología del estándar RAGAS aplicada manualmente sobre 40 conversaciones simuladas — Documento de respaldo de la Sección 16 del Informe Final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left"/>
            </w:pPr>
            <w:r>
              <w:rPr>
                <w:b/>
                <w:bCs/>
                <w:color w:val="000000"/>
                <w:sz w:val="19"/>
                <w:szCs w:val="19"/>
              </w:rPr>
              <w:t xml:space="preserve">Identificador</w:t>
            </w:r>
          </w:p>
        </w:tc>
        <w:tc>
          <w:tcPr>
            <w:tcW w:type="dxa" w:w="65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9"/>
                <w:szCs w:val="19"/>
              </w:rPr>
              <w:t xml:space="preserve">PP-RAGAS-TH-2026-01</w:t>
            </w:r>
          </w:p>
        </w:tc>
      </w:tr>
      <w:tr>
        <w:tc>
          <w:tcPr>
            <w:tcW w:type="dxa" w:w="28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left"/>
            </w:pPr>
            <w:r>
              <w:rPr>
                <w:b/>
                <w:bCs/>
                <w:color w:val="000000"/>
                <w:sz w:val="19"/>
                <w:szCs w:val="19"/>
              </w:rPr>
              <w:t xml:space="preserve">Proyecto</w:t>
            </w:r>
          </w:p>
        </w:tc>
        <w:tc>
          <w:tcPr>
            <w:tcW w:type="dxa" w:w="65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9"/>
                <w:szCs w:val="19"/>
              </w:rPr>
              <w:t xml:space="preserve">Trato Hecho — Agente conversacional IA para cotización de pasto sintético</w:t>
            </w:r>
          </w:p>
        </w:tc>
      </w:tr>
      <w:tr>
        <w:tc>
          <w:tcPr>
            <w:tcW w:type="dxa" w:w="28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left"/>
            </w:pPr>
            <w:r>
              <w:rPr>
                <w:b/>
                <w:bCs/>
                <w:color w:val="000000"/>
                <w:sz w:val="19"/>
                <w:szCs w:val="19"/>
              </w:rPr>
              <w:t xml:space="preserve">Cliente</w:t>
            </w:r>
          </w:p>
        </w:tc>
        <w:tc>
          <w:tcPr>
            <w:tcW w:type="dxa" w:w="65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9"/>
                <w:szCs w:val="19"/>
              </w:rPr>
              <w:t xml:space="preserve">Césped Sintético SpA — Melipilla, Chile</w:t>
            </w:r>
          </w:p>
        </w:tc>
      </w:tr>
      <w:tr>
        <w:tc>
          <w:tcPr>
            <w:tcW w:type="dxa" w:w="28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left"/>
            </w:pPr>
            <w:r>
              <w:rPr>
                <w:b/>
                <w:bCs/>
                <w:color w:val="000000"/>
                <w:sz w:val="19"/>
                <w:szCs w:val="19"/>
              </w:rPr>
              <w:t xml:space="preserve">Documento relacionado</w:t>
            </w:r>
          </w:p>
        </w:tc>
        <w:tc>
          <w:tcPr>
            <w:tcW w:type="dxa" w:w="65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9"/>
                <w:szCs w:val="19"/>
              </w:rPr>
              <w:t xml:space="preserve">Informe Final — Sección 16 “Evaluación de Calidad del Agente IA — Marco RAGAS”</w:t>
            </w:r>
          </w:p>
        </w:tc>
      </w:tr>
      <w:tr>
        <w:tc>
          <w:tcPr>
            <w:tcW w:type="dxa" w:w="28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left"/>
            </w:pPr>
            <w:r>
              <w:rPr>
                <w:b/>
                <w:bCs/>
                <w:color w:val="000000"/>
                <w:sz w:val="19"/>
                <w:szCs w:val="19"/>
              </w:rPr>
              <w:t xml:space="preserve">Versión</w:t>
            </w:r>
          </w:p>
        </w:tc>
        <w:tc>
          <w:tcPr>
            <w:tcW w:type="dxa" w:w="65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9"/>
                <w:szCs w:val="19"/>
              </w:rPr>
              <w:t xml:space="preserve">1.0</w:t>
            </w:r>
          </w:p>
        </w:tc>
      </w:tr>
      <w:tr>
        <w:tc>
          <w:tcPr>
            <w:tcW w:type="dxa" w:w="28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left"/>
            </w:pPr>
            <w:r>
              <w:rPr>
                <w:b/>
                <w:bCs/>
                <w:color w:val="000000"/>
                <w:sz w:val="19"/>
                <w:szCs w:val="19"/>
              </w:rPr>
              <w:t xml:space="preserve">Fecha</w:t>
            </w:r>
          </w:p>
        </w:tc>
        <w:tc>
          <w:tcPr>
            <w:tcW w:type="dxa" w:w="65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9"/>
                <w:szCs w:val="19"/>
              </w:rPr>
              <w:t xml:space="preserve">Julio 2026</w:t>
            </w:r>
          </w:p>
        </w:tc>
      </w:tr>
      <w:tr>
        <w:tc>
          <w:tcPr>
            <w:tcW w:type="dxa" w:w="28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left"/>
            </w:pPr>
            <w:r>
              <w:rPr>
                <w:b/>
                <w:bCs/>
                <w:color w:val="000000"/>
                <w:sz w:val="19"/>
                <w:szCs w:val="19"/>
              </w:rPr>
              <w:t xml:space="preserve">Estado</w:t>
            </w:r>
          </w:p>
        </w:tc>
        <w:tc>
          <w:tcPr>
            <w:tcW w:type="dxa" w:w="65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9"/>
                <w:szCs w:val="19"/>
              </w:rPr>
              <w:t xml:space="preserve">EJECUTADO — 40/40 casos evaluados</w:t>
            </w:r>
          </w:p>
        </w:tc>
      </w:tr>
      <w:tr>
        <w:tc>
          <w:tcPr>
            <w:tcW w:type="dxa" w:w="28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left"/>
            </w:pPr>
            <w:r>
              <w:rPr>
                <w:b/>
                <w:bCs/>
                <w:color w:val="000000"/>
                <w:sz w:val="19"/>
                <w:szCs w:val="19"/>
              </w:rPr>
              <w:t xml:space="preserve">Institución</w:t>
            </w:r>
          </w:p>
        </w:tc>
        <w:tc>
          <w:tcPr>
            <w:tcW w:type="dxa" w:w="65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9"/>
                <w:szCs w:val="19"/>
              </w:rPr>
              <w:t xml:space="preserve">DuocUC · Analista Programador</w:t>
            </w:r>
          </w:p>
        </w:tc>
      </w:tr>
      <w:tr>
        <w:tc>
          <w:tcPr>
            <w:tcW w:type="dxa" w:w="28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left"/>
            </w:pPr>
            <w:r>
              <w:rPr>
                <w:b/>
                <w:bCs/>
                <w:color w:val="000000"/>
                <w:sz w:val="19"/>
                <w:szCs w:val="19"/>
              </w:rPr>
              <w:t xml:space="preserve">Equipo</w:t>
            </w:r>
          </w:p>
        </w:tc>
        <w:tc>
          <w:tcPr>
            <w:tcW w:type="dxa" w:w="65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9"/>
                <w:szCs w:val="19"/>
              </w:rPr>
              <w:t xml:space="preserve">Andrés Romero · Manuel Carvajal · Cristofer San Martín</w:t>
            </w:r>
          </w:p>
        </w:tc>
      </w:tr>
    </w:tbl>
    <w:p>
      <w:r>
        <w:br w:type="page"/>
      </w:r>
    </w:p>
    <w:p>
      <w:pPr>
        <w:pStyle w:val="Heading1"/>
        <w:pBdr>
          <w:bottom w:val="single" w:color="1A5276" w:sz="6" w:space="4"/>
        </w:pBdr>
        <w:spacing w:after="160" w:before="360"/>
      </w:pPr>
      <w:r>
        <w:rPr>
          <w:b/>
          <w:bCs/>
          <w:color w:val="1A5276"/>
          <w:sz w:val="32"/>
          <w:szCs w:val="32"/>
        </w:rPr>
        <w:t xml:space="preserve">1. Introducción</w:t>
      </w:r>
    </w:p>
    <w:p>
      <w:pPr>
        <w:pStyle w:val="Heading2"/>
        <w:spacing w:after="120" w:before="240"/>
      </w:pPr>
      <w:r>
        <w:rPr>
          <w:b/>
          <w:bCs/>
          <w:color w:val="000000"/>
          <w:sz w:val="26"/>
          <w:szCs w:val="26"/>
        </w:rPr>
        <w:t xml:space="preserve">1.1 Propósito</w:t>
      </w:r>
    </w:p>
    <w:p>
      <w:pPr>
        <w:spacing w:after="120" w:before="60" w:line="276" w:lineRule="auto"/>
        <w:jc w:val="both"/>
      </w:pPr>
      <w:r>
        <w:rPr>
          <w:color w:val="000000"/>
          <w:sz w:val="21"/>
          <w:szCs w:val="21"/>
        </w:rPr>
        <w:t xml:space="preserve">Este documento define el diseño, la metodología y los 40 casos de prueba manuales ejecutados para evaluar la calidad semántica del agente conversacional Queno, aplicando los criterios del estándar RAGAS (Retrieval-Augmented Generation Assessment). Su propósito es respaldar, con trazabilidad completa, los resultados reportados en la Sección 16 del Informe Final del proyecto Trato Hecho.</w:t>
      </w:r>
    </w:p>
    <w:p>
      <w:pPr>
        <w:pStyle w:val="Heading2"/>
        <w:spacing w:after="120" w:before="240"/>
      </w:pPr>
      <w:r>
        <w:rPr>
          <w:b/>
          <w:bCs/>
          <w:color w:val="000000"/>
          <w:sz w:val="26"/>
          <w:szCs w:val="26"/>
        </w:rPr>
        <w:t xml:space="preserve">1.2 Alcance</w:t>
      </w:r>
    </w:p>
    <w:p>
      <w:pPr>
        <w:spacing w:after="120" w:before="60" w:line="276" w:lineRule="auto"/>
        <w:jc w:val="both"/>
      </w:pPr>
      <w:r>
        <w:rPr>
          <w:color w:val="000000"/>
          <w:sz w:val="21"/>
          <w:szCs w:val="21"/>
        </w:rPr>
        <w:t xml:space="preserve">El plan cubre la evaluación manual de 40 conversaciones simuladas con el agente Queno, distribuidas en cinco categorías: flujos end-to-end completos, fidelidad y consulta de catálogo, retención de contexto multi-turno, respuesta directa dentro del dominio de negocio, y casos límite. No cubre las pruebas automatizadas de la suite Jest (139 pruebas), que están documentadas y respaldadas de forma independiente en la Sección 17 del Informe Final y su Anexo 3 (evidencia de ejecución).</w:t>
      </w:r>
    </w:p>
    <w:p>
      <w:pPr>
        <w:pStyle w:val="Heading2"/>
        <w:spacing w:after="120" w:before="240"/>
      </w:pPr>
      <w:r>
        <w:rPr>
          <w:b/>
          <w:bCs/>
          <w:color w:val="000000"/>
          <w:sz w:val="26"/>
          <w:szCs w:val="26"/>
        </w:rPr>
        <w:t xml:space="preserve">1.3 Referencia al Informe Final</w:t>
      </w:r>
    </w:p>
    <w:p>
      <w:pPr>
        <w:spacing w:after="120" w:before="60" w:line="276" w:lineRule="auto"/>
        <w:jc w:val="both"/>
      </w:pPr>
      <w:r>
        <w:rPr>
          <w:color w:val="000000"/>
          <w:sz w:val="21"/>
          <w:szCs w:val="21"/>
        </w:rPr>
        <w:t xml:space="preserve">Los resultados consolidados de este plan (Sección 10 de este documento) corresponden exactamente a los reportados en la Sección 16 “Evaluación de Calidad del Agente IA — Marco RAGAS” del Informe Final. Las sesiones H-27, H-28, H-29 y PM-01 a PM-04 citadas en el Informe Final se documentan en detalle en las Secciones 5 y 6 de este plan, bajo el mismo identificador.</w:t>
      </w:r>
    </w:p>
    <w:p>
      <w:pPr>
        <w:pStyle w:val="Heading1"/>
        <w:pBdr>
          <w:bottom w:val="single" w:color="1A5276" w:sz="6" w:space="4"/>
        </w:pBdr>
        <w:spacing w:after="160" w:before="360"/>
      </w:pPr>
      <w:r>
        <w:rPr>
          <w:b/>
          <w:bCs/>
          <w:color w:val="1A5276"/>
          <w:sz w:val="32"/>
          <w:szCs w:val="32"/>
        </w:rPr>
        <w:t xml:space="preserve">2. Metodología</w:t>
      </w:r>
    </w:p>
    <w:p>
      <w:pPr>
        <w:pStyle w:val="Heading2"/>
        <w:spacing w:after="120" w:before="240"/>
      </w:pPr>
      <w:r>
        <w:rPr>
          <w:b/>
          <w:bCs/>
          <w:color w:val="000000"/>
          <w:sz w:val="26"/>
          <w:szCs w:val="26"/>
        </w:rPr>
        <w:t xml:space="preserve">2.1 Enfoque: metodología RAGAS aplicada manualmente</w:t>
      </w:r>
    </w:p>
    <w:p>
      <w:pPr>
        <w:spacing w:after="120" w:before="60" w:line="276" w:lineRule="auto"/>
        <w:jc w:val="both"/>
      </w:pPr>
      <w:r>
        <w:rPr>
          <w:color w:val="000000"/>
          <w:sz w:val="21"/>
          <w:szCs w:val="21"/>
        </w:rPr>
        <w:t xml:space="preserve">El proyecto no cuenta con un volumen de conversaciones reales de producción suficiente ni con referencias “gold” verificadas para ejecutar el framework RAGAS de forma automatizada (que requiere cálculo de embeddings y similitud coseno mediante librería especializada). Por esta razón, la evaluación se ejecutó aplicando la metodología del estándar RAGAS —es decir, sus tres criterios de evaluación— de forma manual: cada conversación fue simulada y evaluada criterio a criterio por el equipo, sin el framework automatizado. Los resultados se reportan en formato de cumplimiento (exitoso / con observación), no en puntajes decimales, dado que estos últimos no son un dato honesto para una evaluación realizada por criterio humano.</w:t>
      </w:r>
    </w:p>
    <w:p>
      <w:pPr>
        <w:pStyle w:val="Heading2"/>
        <w:spacing w:after="120" w:before="240"/>
      </w:pPr>
      <w:r>
        <w:rPr>
          <w:b/>
          <w:bCs/>
          <w:color w:val="000000"/>
          <w:sz w:val="26"/>
          <w:szCs w:val="26"/>
        </w:rPr>
        <w:t xml:space="preserve">2.2 Roles y responsables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left"/>
            </w:pPr>
            <w:r>
              <w:rPr>
                <w:b/>
                <w:bCs/>
                <w:color w:val="000000"/>
                <w:sz w:val="19"/>
                <w:szCs w:val="19"/>
              </w:rPr>
              <w:t xml:space="preserve">Diseño de casos de prueba</w:t>
            </w:r>
          </w:p>
        </w:tc>
        <w:tc>
          <w:tcPr>
            <w:tcW w:type="dxa" w:w="65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9"/>
                <w:szCs w:val="19"/>
              </w:rPr>
              <w:t xml:space="preserve">Cristofer San Martín — QA y Documentación</w:t>
            </w:r>
          </w:p>
        </w:tc>
      </w:tr>
      <w:tr>
        <w:tc>
          <w:tcPr>
            <w:tcW w:type="dxa" w:w="28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left"/>
            </w:pPr>
            <w:r>
              <w:rPr>
                <w:b/>
                <w:bCs/>
                <w:color w:val="000000"/>
                <w:sz w:val="19"/>
                <w:szCs w:val="19"/>
              </w:rPr>
              <w:t xml:space="preserve">Ejecución de simulaciones</w:t>
            </w:r>
          </w:p>
        </w:tc>
        <w:tc>
          <w:tcPr>
            <w:tcW w:type="dxa" w:w="65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9"/>
                <w:szCs w:val="19"/>
              </w:rPr>
              <w:t xml:space="preserve">Equipo completo (Andrés Romero, Manuel Carvajal, Cristofer San Martín)</w:t>
            </w:r>
          </w:p>
        </w:tc>
      </w:tr>
      <w:tr>
        <w:tc>
          <w:tcPr>
            <w:tcW w:type="dxa" w:w="28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left"/>
            </w:pPr>
            <w:r>
              <w:rPr>
                <w:b/>
                <w:bCs/>
                <w:color w:val="000000"/>
                <w:sz w:val="19"/>
                <w:szCs w:val="19"/>
              </w:rPr>
              <w:t xml:space="preserve">Evaluación criterio a criterio</w:t>
            </w:r>
          </w:p>
        </w:tc>
        <w:tc>
          <w:tcPr>
            <w:tcW w:type="dxa" w:w="65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9"/>
                <w:szCs w:val="19"/>
              </w:rPr>
              <w:t xml:space="preserve">Cristofer San Martín</w:t>
            </w:r>
          </w:p>
        </w:tc>
      </w:tr>
      <w:tr>
        <w:tc>
          <w:tcPr>
            <w:tcW w:type="dxa" w:w="28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left"/>
            </w:pPr>
            <w:r>
              <w:rPr>
                <w:b/>
                <w:bCs/>
                <w:color w:val="000000"/>
                <w:sz w:val="19"/>
                <w:szCs w:val="19"/>
              </w:rPr>
              <w:t xml:space="preserve">Periodo de ejecución</w:t>
            </w:r>
          </w:p>
        </w:tc>
        <w:tc>
          <w:tcPr>
            <w:tcW w:type="dxa" w:w="65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9"/>
                <w:szCs w:val="19"/>
              </w:rPr>
              <w:t xml:space="preserve">Junio 2026</w:t>
            </w:r>
          </w:p>
        </w:tc>
      </w:tr>
    </w:tbl>
    <w:p>
      <w:pPr>
        <w:pStyle w:val="Heading2"/>
        <w:spacing w:after="120" w:before="240"/>
      </w:pPr>
      <w:r>
        <w:rPr>
          <w:b/>
          <w:bCs/>
          <w:color w:val="000000"/>
          <w:sz w:val="26"/>
          <w:szCs w:val="26"/>
        </w:rPr>
        <w:t xml:space="preserve">2.3 Procedimiento de evaluación</w:t>
      </w:r>
    </w:p>
    <w:p>
      <w:pPr>
        <w:pStyle w:val="ListParagraph"/>
        <w:numPr>
          <w:ilvl w:val="0"/>
          <w:numId w:val="2"/>
        </w:numPr>
        <w:spacing w:after="60" w:before="40"/>
      </w:pPr>
      <w:r>
        <w:rPr>
          <w:sz w:val="21"/>
          <w:szCs w:val="21"/>
        </w:rPr>
        <w:t xml:space="preserve">Se simula una conversación con el agente Queno (vía webhook de chat) siguiendo el guion del caso de prueba.</w:t>
      </w:r>
    </w:p>
    <w:p>
      <w:pPr>
        <w:pStyle w:val="ListParagraph"/>
        <w:numPr>
          <w:ilvl w:val="0"/>
          <w:numId w:val="2"/>
        </w:numPr>
        <w:spacing w:after="60" w:before="40"/>
      </w:pPr>
      <w:r>
        <w:rPr>
          <w:sz w:val="21"/>
          <w:szCs w:val="21"/>
        </w:rPr>
        <w:t xml:space="preserve">Se registra la respuesta real del agente en cada turno de la conversación.</w:t>
      </w:r>
    </w:p>
    <w:p>
      <w:pPr>
        <w:pStyle w:val="ListParagraph"/>
        <w:numPr>
          <w:ilvl w:val="0"/>
          <w:numId w:val="2"/>
        </w:numPr>
        <w:spacing w:after="60" w:before="40"/>
      </w:pPr>
      <w:r>
        <w:rPr>
          <w:sz w:val="21"/>
          <w:szCs w:val="21"/>
        </w:rPr>
        <w:t xml:space="preserve">Se evalúa cada criterio aplicable (Fidelidad, Contexto, Respuesta directa) comparando la respuesta obtenida contra el resultado esperado del caso.</w:t>
      </w:r>
    </w:p>
    <w:p>
      <w:pPr>
        <w:pStyle w:val="ListParagraph"/>
        <w:numPr>
          <w:ilvl w:val="0"/>
          <w:numId w:val="2"/>
        </w:numPr>
        <w:spacing w:after="60" w:before="40"/>
      </w:pPr>
      <w:r>
        <w:rPr>
          <w:sz w:val="21"/>
          <w:szCs w:val="21"/>
        </w:rPr>
        <w:t xml:space="preserve">Se marca el caso como “✓ Exitoso” si cumple todos los criterios evaluados, o “con observación” si se detecta una desviación menor, documentando el hallazgo como defecto (DEF-XXX).</w:t>
      </w:r>
    </w:p>
    <w:p>
      <w:pPr>
        <w:pStyle w:val="ListParagraph"/>
        <w:numPr>
          <w:ilvl w:val="0"/>
          <w:numId w:val="2"/>
        </w:numPr>
        <w:spacing w:after="60" w:before="40"/>
      </w:pPr>
      <w:r>
        <w:rPr>
          <w:sz w:val="21"/>
          <w:szCs w:val="21"/>
        </w:rPr>
        <w:t xml:space="preserve">Los defectos detectados se corrigen y se re-ejecuta el caso para confirmar el cierre.</w:t>
      </w:r>
    </w:p>
    <w:p>
      <w:pPr>
        <w:pStyle w:val="Heading1"/>
        <w:pBdr>
          <w:bottom w:val="single" w:color="1A5276" w:sz="6" w:space="4"/>
        </w:pBdr>
        <w:spacing w:after="160" w:before="360"/>
      </w:pPr>
      <w:r>
        <w:rPr>
          <w:b/>
          <w:bCs/>
          <w:color w:val="1A5276"/>
          <w:sz w:val="32"/>
          <w:szCs w:val="32"/>
        </w:rPr>
        <w:t xml:space="preserve">3. Criterios de Evaluación</w:t>
      </w:r>
    </w:p>
    <w:p>
      <w:pPr>
        <w:spacing w:after="120" w:before="60" w:line="276" w:lineRule="auto"/>
        <w:jc w:val="both"/>
      </w:pPr>
      <w:r>
        <w:rPr>
          <w:color w:val="000000"/>
          <w:sz w:val="21"/>
          <w:szCs w:val="21"/>
        </w:rPr>
        <w:t xml:space="preserve">A continuación se detallan los tres criterios del estándar RAGAS aplicados en este plan, adaptados al dominio de negocio de Trato Hecho (venta de pasto sintético).</w:t>
      </w:r>
    </w:p>
    <w:p>
      <w:pPr>
        <w:spacing w:after="100" w:before="180"/>
      </w:pPr>
      <w:r>
        <w:rPr>
          <w:b/>
          <w:bCs/>
          <w:color w:val="1A5276"/>
          <w:sz w:val="23"/>
          <w:szCs w:val="23"/>
        </w:rPr>
        <w:t xml:space="preserve">3.1 Faithfulness (Fidelidad)</w:t>
      </w:r>
    </w:p>
    <w:p>
      <w:pPr>
        <w:spacing w:after="120" w:before="60" w:line="276" w:lineRule="auto"/>
        <w:jc w:val="both"/>
      </w:pPr>
      <w:r>
        <w:rPr>
          <w:color w:val="000000"/>
          <w:sz w:val="21"/>
          <w:szCs w:val="21"/>
        </w:rPr>
        <w:t xml:space="preserve">Evalúa si cada afirmación de la respuesta del agente se sostiene en información real disponible en su contexto (catálogo de productos, precios, fórmulas de cálculo, datos ya entregados por el cliente). Una respuesta es fiel cuando no contiene alucinaciones: precios inventados, productos que no existen en el catálogo, o cálculos de metraje que no siguen la fórmula real del sistema (margen técnico del 10%, redondeado hacia arriba).</w:t>
      </w:r>
    </w:p>
    <w:p>
      <w:pPr>
        <w:spacing w:after="100" w:before="180"/>
      </w:pPr>
      <w:r>
        <w:rPr>
          <w:b/>
          <w:bCs/>
          <w:color w:val="1A5276"/>
          <w:sz w:val="23"/>
          <w:szCs w:val="23"/>
        </w:rPr>
        <w:t xml:space="preserve">3.2 Context Relevancy (Relevancia de Contexto)</w:t>
      </w:r>
    </w:p>
    <w:p>
      <w:pPr>
        <w:spacing w:after="120" w:before="60" w:line="276" w:lineRule="auto"/>
        <w:jc w:val="both"/>
      </w:pPr>
      <w:r>
        <w:rPr>
          <w:color w:val="000000"/>
          <w:sz w:val="21"/>
          <w:szCs w:val="21"/>
        </w:rPr>
        <w:t xml:space="preserve">Evalúa si el agente conserva y utiliza correctamente la información entregada en turnos anteriores de la misma conversación: metraje, producto seleccionado, decisión de instalación, datos del cliente y cotizaciones activas. Un agente con buena relevancia de contexto no pierde el hilo de la conversación ni solicita nuevamente datos que el cliente ya entregó.</w:t>
      </w:r>
    </w:p>
    <w:p>
      <w:pPr>
        <w:spacing w:after="100" w:before="180"/>
      </w:pPr>
      <w:r>
        <w:rPr>
          <w:b/>
          <w:bCs/>
          <w:color w:val="1A5276"/>
          <w:sz w:val="23"/>
          <w:szCs w:val="23"/>
        </w:rPr>
        <w:t xml:space="preserve">3.3 Answer Relevancy (Relevancia de Respuesta)</w:t>
      </w:r>
    </w:p>
    <w:p>
      <w:pPr>
        <w:spacing w:after="120" w:before="60" w:line="276" w:lineRule="auto"/>
        <w:jc w:val="both"/>
      </w:pPr>
      <w:r>
        <w:rPr>
          <w:color w:val="000000"/>
          <w:sz w:val="21"/>
          <w:szCs w:val="21"/>
        </w:rPr>
        <w:t xml:space="preserve">Evalúa si la respuesta del agente es directa y útil respecto a lo consultado, y si se mantiene dentro del dominio de negocio de Trato Hecho: la venta de pasto sintético. Una respuesta relevante no cualifica indefinidamente sin responder lo solicitado, ni se desvía hacia temas ajenos al negocio (política, cultura general, otros productos o servicios).</w:t>
      </w:r>
    </w:p>
    <w:p>
      <w:pPr>
        <w:pStyle w:val="Heading1"/>
        <w:pBdr>
          <w:bottom w:val="single" w:color="1A5276" w:sz="6" w:space="4"/>
        </w:pBdr>
        <w:spacing w:after="160" w:before="360"/>
      </w:pPr>
      <w:r>
        <w:rPr>
          <w:b/>
          <w:bCs/>
          <w:color w:val="1A5276"/>
          <w:sz w:val="32"/>
          <w:szCs w:val="32"/>
        </w:rPr>
        <w:t xml:space="preserve">4. Diseño de Casos de Prueba</w:t>
      </w:r>
    </w:p>
    <w:p>
      <w:pPr>
        <w:spacing w:after="120" w:before="60" w:line="276" w:lineRule="auto"/>
        <w:jc w:val="both"/>
      </w:pPr>
      <w:r>
        <w:rPr>
          <w:color w:val="000000"/>
          <w:sz w:val="21"/>
          <w:szCs w:val="21"/>
        </w:rPr>
        <w:t xml:space="preserve">Los 40 casos de prueba se distribuyen en cinco categorías, diseñadas para cubrir de forma sistemática los tres criterios de evaluación y los flujos comerciales reales del negocio.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60"/>
        <w:gridCol w:w="1200"/>
        <w:gridCol w:w="4200"/>
      </w:tblGrid>
      <w:tr>
        <w:trPr>
          <w:tblHeader/>
        </w:trPr>
        <w:tc>
          <w:tcPr>
            <w:tcW w:type="dxa" w:w="24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Categoría</w:t>
            </w:r>
          </w:p>
        </w:tc>
        <w:tc>
          <w:tcPr>
            <w:tcW w:type="dxa" w:w="156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Rango de ID</w:t>
            </w:r>
          </w:p>
        </w:tc>
        <w:tc>
          <w:tcPr>
            <w:tcW w:type="dxa" w:w="12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Cantidad</w:t>
            </w:r>
          </w:p>
        </w:tc>
        <w:tc>
          <w:tcPr>
            <w:tcW w:type="dxa" w:w="42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Objetivo principal</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Flujos End-to-End</w:t>
            </w:r>
          </w:p>
        </w:tc>
        <w:tc>
          <w:tcPr>
            <w:tcW w:type="dxa" w:w="15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PM-01 a PM-08</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8</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Verificar el flujo comercial completo: desde la conversación inicial hasta la cotización o el pago, incluyendo casos de retorno con cotización activa.</w:t>
            </w:r>
          </w:p>
        </w:tc>
      </w:tr>
      <w:tr>
        <w:tc>
          <w:tcPr>
            <w:tcW w:type="dxa" w:w="24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Fidelidad y Catálogo</w:t>
            </w:r>
          </w:p>
        </w:tc>
        <w:tc>
          <w:tcPr>
            <w:tcW w:type="dxa" w:w="1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CT-01 a CT-10</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10</w:t>
            </w:r>
          </w:p>
        </w:tc>
        <w:tc>
          <w:tcPr>
            <w:tcW w:type="dxa" w:w="4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Verificar que precios, productos y fórmulas de cálculo entregados por el agente coinciden exactamente con el catálogo real, sin alucinaciones.</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Contexto Multi-turno</w:t>
            </w:r>
          </w:p>
        </w:tc>
        <w:tc>
          <w:tcPr>
            <w:tcW w:type="dxa" w:w="15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CX-01 a CX-08</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8</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Verificar que el agente conserva metraje, producto, instalación y datos del cliente durante toda la conversación.</w:t>
            </w:r>
          </w:p>
        </w:tc>
      </w:tr>
      <w:tr>
        <w:tc>
          <w:tcPr>
            <w:tcW w:type="dxa" w:w="24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Respuesta Directa y Dominio</w:t>
            </w:r>
          </w:p>
        </w:tc>
        <w:tc>
          <w:tcPr>
            <w:tcW w:type="dxa" w:w="1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RD-01 a RD-08</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8</w:t>
            </w:r>
          </w:p>
        </w:tc>
        <w:tc>
          <w:tcPr>
            <w:tcW w:type="dxa" w:w="4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Verificar que el agente responde directo a lo consultado y se mantiene dentro del dominio de venta de pasto sintético.</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Casos Límite</w:t>
            </w:r>
          </w:p>
        </w:tc>
        <w:tc>
          <w:tcPr>
            <w:tcW w:type="dxa" w:w="15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EC-01 a EC-06</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6</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Verificar el comportamiento del agente ante entradas ambiguas, erróneas o fuera de lo esperado.</w:t>
            </w:r>
          </w:p>
        </w:tc>
      </w:tr>
      <w:tr>
        <w:tc>
          <w:tcPr>
            <w:tcW w:type="dxa" w:w="24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TOTAL</w:t>
            </w:r>
          </w:p>
        </w:tc>
        <w:tc>
          <w:tcPr>
            <w:tcW w:type="dxa" w:w="1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w:t>
            </w:r>
          </w:p>
        </w:tc>
        <w:tc>
          <w:tcPr>
            <w:tcW w:type="dxa" w:w="1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40</w:t>
            </w:r>
          </w:p>
        </w:tc>
        <w:tc>
          <w:tcPr>
            <w:tcW w:type="dxa" w:w="42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w:t>
            </w:r>
          </w:p>
        </w:tc>
      </w:tr>
    </w:tbl>
    <w:p>
      <w:r>
        <w:br w:type="page"/>
      </w:r>
    </w:p>
    <w:p>
      <w:pPr>
        <w:pStyle w:val="Heading1"/>
        <w:pBdr>
          <w:bottom w:val="single" w:color="1A5276" w:sz="6" w:space="4"/>
        </w:pBdr>
        <w:spacing w:after="160" w:before="360"/>
      </w:pPr>
      <w:r>
        <w:rPr>
          <w:b/>
          <w:bCs/>
          <w:color w:val="1A5276"/>
          <w:sz w:val="32"/>
          <w:szCs w:val="32"/>
        </w:rPr>
        <w:t xml:space="preserve">5. Casos de Prueba — Flujos End-to-End (PM-01 a PM-08)</w:t>
      </w:r>
    </w:p>
    <w:p>
      <w:pPr>
        <w:spacing w:after="120" w:before="60" w:line="276" w:lineRule="auto"/>
        <w:jc w:val="both"/>
      </w:pPr>
      <w:r>
        <w:rPr>
          <w:color w:val="000000"/>
          <w:sz w:val="21"/>
          <w:szCs w:val="21"/>
        </w:rPr>
        <w:t xml:space="preserve">Estos casos verifican el ciclo comercial completo del sistema: desde que el cliente inicia la conversación hasta que se genera la cotización o se confirma el pago, incluyendo escenarios de retorno con cotización activa (memoria de 10 días).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0"/>
        <w:gridCol w:w="2650"/>
        <w:gridCol w:w="1450"/>
        <w:gridCol w:w="2100"/>
        <w:gridCol w:w="2410"/>
        <w:gridCol w:w="900"/>
      </w:tblGrid>
      <w:tr>
        <w:trPr>
          <w:tblHeader/>
        </w:trPr>
        <w:tc>
          <w:tcPr>
            <w:tcW w:type="dxa" w:w="75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ID</w:t>
            </w:r>
          </w:p>
        </w:tc>
        <w:tc>
          <w:tcPr>
            <w:tcW w:type="dxa" w:w="265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Escenario / Entrada del cliente</w:t>
            </w:r>
          </w:p>
        </w:tc>
        <w:tc>
          <w:tcPr>
            <w:tcW w:type="dxa" w:w="145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Criterio(s)</w:t>
            </w:r>
          </w:p>
        </w:tc>
        <w:tc>
          <w:tcPr>
            <w:tcW w:type="dxa" w:w="21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Resultado esperado</w:t>
            </w:r>
          </w:p>
        </w:tc>
        <w:tc>
          <w:tcPr>
            <w:tcW w:type="dxa" w:w="241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Resultado obtenido</w:t>
            </w:r>
          </w:p>
        </w:tc>
        <w:tc>
          <w:tcPr>
            <w:tcW w:type="dxa" w:w="9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Estado</w:t>
            </w:r>
          </w:p>
        </w:tc>
      </w:tr>
      <w:tr>
        <w:tc>
          <w:tcPr>
            <w:tcW w:type="dxa" w:w="7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PM-01</w:t>
            </w:r>
          </w:p>
        </w:tc>
        <w:tc>
          <w:tcPr>
            <w:tcW w:type="dxa" w:w="26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Flujo completo: jardín 25 m² (post-margen), Soft Touch, con instalación.</w:t>
            </w:r>
          </w:p>
        </w:tc>
        <w:tc>
          <w:tcPr>
            <w:tcW w:type="dxa" w:w="14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Fid. / Ctx.</w:t>
            </w:r>
          </w:p>
        </w:tc>
        <w:tc>
          <w:tcPr>
            <w:tcW w:type="dxa" w:w="21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Genera cotización con total exacto: 25 × ($22.900 + $4.500) = $685.000.</w:t>
            </w:r>
          </w:p>
        </w:tc>
        <w:tc>
          <w:tcPr>
            <w:tcW w:type="dxa" w:w="241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COT-2026-78621. Total $685.000 verificado. 0 errores.</w:t>
            </w:r>
          </w:p>
        </w:tc>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PM-02</w:t>
            </w:r>
          </w:p>
        </w:tc>
        <w:tc>
          <w:tcPr>
            <w:tcW w:type="dxa" w:w="26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Flujo completo: cancha deportiva 500 m², Fútbol 11, cotización + pago.</w:t>
            </w:r>
          </w:p>
        </w:tc>
        <w:tc>
          <w:tcPr>
            <w:tcW w:type="dxa" w:w="14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Fid. / E2E</w:t>
            </w:r>
          </w:p>
        </w:tc>
        <w:tc>
          <w:tcPr>
            <w:tcW w:type="dxa" w:w="21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Genera cotización, procesa pago y confirma con notificación.</w:t>
            </w:r>
          </w:p>
        </w:tc>
        <w:tc>
          <w:tcPr>
            <w:tcW w:type="dxa" w:w="241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COT-2026-37247. Total $16.000.000. Pago confirmado.</w:t>
            </w:r>
          </w:p>
        </w:tc>
        <w:tc>
          <w:tcPr>
            <w:tcW w:type="dxa" w:w="9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PM-03</w:t>
            </w:r>
          </w:p>
        </w:tc>
        <w:tc>
          <w:tcPr>
            <w:tcW w:type="dxa" w:w="26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Flujo completo: 221 m² Soft Touch, sin instalación, cotización confirmada.</w:t>
            </w:r>
          </w:p>
        </w:tc>
        <w:tc>
          <w:tcPr>
            <w:tcW w:type="dxa" w:w="14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Fid.</w:t>
            </w:r>
          </w:p>
        </w:tc>
        <w:tc>
          <w:tcPr>
            <w:tcW w:type="dxa" w:w="21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Total exacto: 221 × $22.900 = $5.060.900.</w:t>
            </w:r>
          </w:p>
        </w:tc>
        <w:tc>
          <w:tcPr>
            <w:tcW w:type="dxa" w:w="241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COT-2026-30584. Total $5.060.900. Captura de datos correcta.</w:t>
            </w:r>
          </w:p>
        </w:tc>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PM-04</w:t>
            </w:r>
          </w:p>
        </w:tc>
        <w:tc>
          <w:tcPr>
            <w:tcW w:type="dxa" w:w="26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Consulta de precio Pet-Friendly + cálculo de m² + instalación (sin cerrar cotización).</w:t>
            </w:r>
          </w:p>
        </w:tc>
        <w:tc>
          <w:tcPr>
            <w:tcW w:type="dxa" w:w="14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Fid.</w:t>
            </w:r>
          </w:p>
        </w:tc>
        <w:tc>
          <w:tcPr>
            <w:tcW w:type="dxa" w:w="21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Aplica fórmula de instalación ($4.500/m²) y precio de línea ($26.000/m²) correctamente.</w:t>
            </w:r>
          </w:p>
        </w:tc>
        <w:tc>
          <w:tcPr>
            <w:tcW w:type="dxa" w:w="241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Precios y fórmula de instalación correctos, sin inventar valores.</w:t>
            </w:r>
          </w:p>
        </w:tc>
        <w:tc>
          <w:tcPr>
            <w:tcW w:type="dxa" w:w="9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PM-05</w:t>
            </w:r>
          </w:p>
        </w:tc>
        <w:tc>
          <w:tcPr>
            <w:tcW w:type="dxa" w:w="26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Flujo completo: jardín 10 m², Luxury Emerald, sin instalación.</w:t>
            </w:r>
          </w:p>
        </w:tc>
        <w:tc>
          <w:tcPr>
            <w:tcW w:type="dxa" w:w="14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Fid.</w:t>
            </w:r>
          </w:p>
        </w:tc>
        <w:tc>
          <w:tcPr>
            <w:tcW w:type="dxa" w:w="21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Margen técnico ceil(10×1.10)=11 m² → 11 × $28.500 = $313.500.</w:t>
            </w:r>
          </w:p>
        </w:tc>
        <w:tc>
          <w:tcPr>
            <w:tcW w:type="dxa" w:w="241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Cálculo verificado en suite Jest (priceCalc.test.js). Cotización generada correctamente.</w:t>
            </w:r>
          </w:p>
        </w:tc>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PM-06</w:t>
            </w:r>
          </w:p>
        </w:tc>
        <w:tc>
          <w:tcPr>
            <w:tcW w:type="dxa" w:w="26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Cancha deportiva: cliente cotiza pero abandona la conversación antes de pagar.</w:t>
            </w:r>
          </w:p>
        </w:tc>
        <w:tc>
          <w:tcPr>
            <w:tcW w:type="dxa" w:w="14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Ctx. / E2E</w:t>
            </w:r>
          </w:p>
        </w:tc>
        <w:tc>
          <w:tcPr>
            <w:tcW w:type="dxa" w:w="21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Cotización queda activa 10 días; el flujo no se corrompe ni se genera pago no solicitado.</w:t>
            </w:r>
          </w:p>
        </w:tc>
        <w:tc>
          <w:tcPr>
            <w:tcW w:type="dxa" w:w="241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Cotización quedó en estado "pendiente", sin generar cargo. Recuperable en sesión posterior.</w:t>
            </w:r>
          </w:p>
        </w:tc>
        <w:tc>
          <w:tcPr>
            <w:tcW w:type="dxa" w:w="9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PM-07</w:t>
            </w:r>
          </w:p>
        </w:tc>
        <w:tc>
          <w:tcPr>
            <w:tcW w:type="dxa" w:w="26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Cliente retorna a los 3 días con la misma cotización activa y confirma el pago.</w:t>
            </w:r>
          </w:p>
        </w:tc>
        <w:tc>
          <w:tcPr>
            <w:tcW w:type="dxa" w:w="14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Ctx. / E2E</w:t>
            </w:r>
          </w:p>
        </w:tc>
        <w:tc>
          <w:tcPr>
            <w:tcW w:type="dxa" w:w="21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Sistema recupera la cotización activa desde Supabase sin repetir el flujo desde cero.</w:t>
            </w:r>
          </w:p>
        </w:tc>
        <w:tc>
          <w:tcPr>
            <w:tcW w:type="dxa" w:w="241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Reconoció cotización activa por sesión, ofreció pago directo. Total y datos intactos.</w:t>
            </w:r>
          </w:p>
        </w:tc>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PM-08</w:t>
            </w:r>
          </w:p>
        </w:tc>
        <w:tc>
          <w:tcPr>
            <w:tcW w:type="dxa" w:w="26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Flujo completo: jardín 15 m², Pet-Friendly, con instalación.</w:t>
            </w:r>
          </w:p>
        </w:tc>
        <w:tc>
          <w:tcPr>
            <w:tcW w:type="dxa" w:w="14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Fid.</w:t>
            </w:r>
          </w:p>
        </w:tc>
        <w:tc>
          <w:tcPr>
            <w:tcW w:type="dxa" w:w="21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Margen ceil(15×1.10)=17 m² → 17×$26.000 + 17×$4.500 = $442.000 + $76.500 = $518.500.</w:t>
            </w:r>
          </w:p>
        </w:tc>
        <w:tc>
          <w:tcPr>
            <w:tcW w:type="dxa" w:w="241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Cálculo verificado en suite Jest. Cotización COT-2026 generada con total correcto.</w:t>
            </w:r>
          </w:p>
        </w:tc>
        <w:tc>
          <w:tcPr>
            <w:tcW w:type="dxa" w:w="9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 Exitoso</w:t>
            </w:r>
          </w:p>
        </w:tc>
      </w:tr>
    </w:tbl>
    <w:p>
      <w:r>
        <w:br w:type="page"/>
      </w:r>
    </w:p>
    <w:p>
      <w:pPr>
        <w:pStyle w:val="Heading1"/>
        <w:pBdr>
          <w:bottom w:val="single" w:color="1A5276" w:sz="6" w:space="4"/>
        </w:pBdr>
        <w:spacing w:after="160" w:before="360"/>
      </w:pPr>
      <w:r>
        <w:rPr>
          <w:b/>
          <w:bCs/>
          <w:color w:val="1A5276"/>
          <w:sz w:val="32"/>
          <w:szCs w:val="32"/>
        </w:rPr>
        <w:t xml:space="preserve">6. Casos de Prueba — Fidelidad y Catálogo (CT-01 a CT-10)</w:t>
      </w:r>
    </w:p>
    <w:p>
      <w:pPr>
        <w:spacing w:after="120" w:before="60" w:line="276" w:lineRule="auto"/>
        <w:jc w:val="both"/>
      </w:pPr>
      <w:r>
        <w:rPr>
          <w:color w:val="000000"/>
          <w:sz w:val="21"/>
          <w:szCs w:val="21"/>
        </w:rPr>
        <w:t xml:space="preserve">Estos casos verifican que toda cifra entregada por el agente (precios por m², costos de instalación, totales) coincide exactamente con el catálogo real y las fórmulas de cálculo del sistema, sin inventar ni modificar valores.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0"/>
        <w:gridCol w:w="2650"/>
        <w:gridCol w:w="1450"/>
        <w:gridCol w:w="2100"/>
        <w:gridCol w:w="2410"/>
        <w:gridCol w:w="900"/>
      </w:tblGrid>
      <w:tr>
        <w:trPr>
          <w:tblHeader/>
        </w:trPr>
        <w:tc>
          <w:tcPr>
            <w:tcW w:type="dxa" w:w="75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ID</w:t>
            </w:r>
          </w:p>
        </w:tc>
        <w:tc>
          <w:tcPr>
            <w:tcW w:type="dxa" w:w="265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Escenario / Entrada del cliente</w:t>
            </w:r>
          </w:p>
        </w:tc>
        <w:tc>
          <w:tcPr>
            <w:tcW w:type="dxa" w:w="145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Criterio(s)</w:t>
            </w:r>
          </w:p>
        </w:tc>
        <w:tc>
          <w:tcPr>
            <w:tcW w:type="dxa" w:w="21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Resultado esperado</w:t>
            </w:r>
          </w:p>
        </w:tc>
        <w:tc>
          <w:tcPr>
            <w:tcW w:type="dxa" w:w="241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Resultado obtenido</w:t>
            </w:r>
          </w:p>
        </w:tc>
        <w:tc>
          <w:tcPr>
            <w:tcW w:type="dxa" w:w="9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Estado</w:t>
            </w:r>
          </w:p>
        </w:tc>
      </w:tr>
      <w:tr>
        <w:tc>
          <w:tcPr>
            <w:tcW w:type="dxa" w:w="7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CT-01 (H-28)</w:t>
            </w:r>
          </w:p>
        </w:tc>
        <w:tc>
          <w:tcPr>
            <w:tcW w:type="dxa" w:w="26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“hola quiero ver el catalogo”</w:t>
            </w:r>
          </w:p>
        </w:tc>
        <w:tc>
          <w:tcPr>
            <w:tcW w:type="dxa" w:w="14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Fid.</w:t>
            </w:r>
          </w:p>
        </w:tc>
        <w:tc>
          <w:tcPr>
            <w:tcW w:type="dxa" w:w="21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Presenta el catálogo completo sin inventar productos ni precios.</w:t>
            </w:r>
          </w:p>
        </w:tc>
        <w:tc>
          <w:tcPr>
            <w:tcW w:type="dxa" w:w="241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Catálogo completo. 0 alucinaciones. 6 afirmaciones verificadas contra el catálogo real.</w:t>
            </w:r>
          </w:p>
        </w:tc>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CT-02 (H-29)</w:t>
            </w:r>
          </w:p>
        </w:tc>
        <w:tc>
          <w:tcPr>
            <w:tcW w:type="dxa" w:w="26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“quiero Luxury Emerald — ¿cuánto cuesta?”</w:t>
            </w:r>
          </w:p>
        </w:tc>
        <w:tc>
          <w:tcPr>
            <w:tcW w:type="dxa" w:w="14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Fid.</w:t>
            </w:r>
          </w:p>
        </w:tc>
        <w:tc>
          <w:tcPr>
            <w:tcW w:type="dxa" w:w="21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Responde $28.500/m², precio exacto del catálogo.</w:t>
            </w:r>
          </w:p>
        </w:tc>
        <w:tc>
          <w:tcPr>
            <w:tcW w:type="dxa" w:w="241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Precio correcto. Nota: “con IVA” no está explicitado en el catálogo (no se inventó).</w:t>
            </w:r>
          </w:p>
        </w:tc>
        <w:tc>
          <w:tcPr>
            <w:tcW w:type="dxa" w:w="9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CT-03</w:t>
            </w:r>
          </w:p>
        </w:tc>
        <w:tc>
          <w:tcPr>
            <w:tcW w:type="dxa" w:w="26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“¿cuánto cuesta el Soft Touch?”</w:t>
            </w:r>
          </w:p>
        </w:tc>
        <w:tc>
          <w:tcPr>
            <w:tcW w:type="dxa" w:w="14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Fid.</w:t>
            </w:r>
          </w:p>
        </w:tc>
        <w:tc>
          <w:tcPr>
            <w:tcW w:type="dxa" w:w="21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Responde $22.900/m² exacto, sin inventar cifra.</w:t>
            </w:r>
          </w:p>
        </w:tc>
        <w:tc>
          <w:tcPr>
            <w:tcW w:type="dxa" w:w="241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Precio correcto según catálogo, sin desviación.</w:t>
            </w:r>
          </w:p>
        </w:tc>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CT-04</w:t>
            </w:r>
          </w:p>
        </w:tc>
        <w:tc>
          <w:tcPr>
            <w:tcW w:type="dxa" w:w="26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“¿tienen pasto para perros?”</w:t>
            </w:r>
          </w:p>
        </w:tc>
        <w:tc>
          <w:tcPr>
            <w:tcW w:type="dxa" w:w="14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Fid.</w:t>
            </w:r>
          </w:p>
        </w:tc>
        <w:tc>
          <w:tcPr>
            <w:tcW w:type="dxa" w:w="21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Identifica línea Pet-Friendly a $26.000/m², sin inventar otras líneas.</w:t>
            </w:r>
          </w:p>
        </w:tc>
        <w:tc>
          <w:tcPr>
            <w:tcW w:type="dxa" w:w="241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Identificó correctamente Pet-Friendly como línea pet-friendly del catálogo real.</w:t>
            </w:r>
          </w:p>
        </w:tc>
        <w:tc>
          <w:tcPr>
            <w:tcW w:type="dxa" w:w="9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CT-05</w:t>
            </w:r>
          </w:p>
        </w:tc>
        <w:tc>
          <w:tcPr>
            <w:tcW w:type="dxa" w:w="26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“¿cuánto cuesta instalar 20 m²?”</w:t>
            </w:r>
          </w:p>
        </w:tc>
        <w:tc>
          <w:tcPr>
            <w:tcW w:type="dxa" w:w="14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Fid.</w:t>
            </w:r>
          </w:p>
        </w:tc>
        <w:tc>
          <w:tcPr>
            <w:tcW w:type="dxa" w:w="21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Aplica $4.500/m² de instalación: 20×$4.500 = $90.000.</w:t>
            </w:r>
          </w:p>
        </w:tc>
        <w:tc>
          <w:tcPr>
            <w:tcW w:type="dxa" w:w="241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Cálculo de instalación correcto, sin inventar otro valor.</w:t>
            </w:r>
          </w:p>
        </w:tc>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CT-06</w:t>
            </w:r>
          </w:p>
        </w:tc>
        <w:tc>
          <w:tcPr>
            <w:tcW w:type="dxa" w:w="26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“¿el precio incluye instalación?”</w:t>
            </w:r>
          </w:p>
        </w:tc>
        <w:tc>
          <w:tcPr>
            <w:tcW w:type="dxa" w:w="14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Fid.</w:t>
            </w:r>
          </w:p>
        </w:tc>
        <w:tc>
          <w:tcPr>
            <w:tcW w:type="dxa" w:w="21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Aclara que la instalación es opcional y se suma aparte.</w:t>
            </w:r>
          </w:p>
        </w:tc>
        <w:tc>
          <w:tcPr>
            <w:tcW w:type="dxa" w:w="241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Aclaró correctamente que la instalación es opcional (+$4.500/m²).</w:t>
            </w:r>
          </w:p>
        </w:tc>
        <w:tc>
          <w:tcPr>
            <w:tcW w:type="dxa" w:w="9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CT-07</w:t>
            </w:r>
          </w:p>
        </w:tc>
        <w:tc>
          <w:tcPr>
            <w:tcW w:type="dxa" w:w="26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“¿tienen descuento por volumen?”</w:t>
            </w:r>
          </w:p>
        </w:tc>
        <w:tc>
          <w:tcPr>
            <w:tcW w:type="dxa" w:w="14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Fid.</w:t>
            </w:r>
          </w:p>
        </w:tc>
        <w:tc>
          <w:tcPr>
            <w:tcW w:type="dxa" w:w="21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Solo cita el descuento real (10% sobre $1.000.000) si aplica; no inventa otras políticas.</w:t>
            </w:r>
          </w:p>
        </w:tc>
        <w:tc>
          <w:tcPr>
            <w:tcW w:type="dxa" w:w="241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Citó únicamente el descuento del 10% para compras superiores a $1.000.000. Sin inventos.</w:t>
            </w:r>
          </w:p>
        </w:tc>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CT-08</w:t>
            </w:r>
          </w:p>
        </w:tc>
        <w:tc>
          <w:tcPr>
            <w:tcW w:type="dxa" w:w="26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“10 m² de Luxury Emerald sin instalación”</w:t>
            </w:r>
          </w:p>
        </w:tc>
        <w:tc>
          <w:tcPr>
            <w:tcW w:type="dxa" w:w="14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Fid.</w:t>
            </w:r>
          </w:p>
        </w:tc>
        <w:tc>
          <w:tcPr>
            <w:tcW w:type="dxa" w:w="21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10×1.10 redondeado hacia arriba = 11 m² → 11×$28.500 = $313.500.</w:t>
            </w:r>
          </w:p>
        </w:tc>
        <w:tc>
          <w:tcPr>
            <w:tcW w:type="dxa" w:w="241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Cálculo exacto verificado (mismo caso validado en Jest unit test).</w:t>
            </w:r>
          </w:p>
        </w:tc>
        <w:tc>
          <w:tcPr>
            <w:tcW w:type="dxa" w:w="9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CT-09</w:t>
            </w:r>
          </w:p>
        </w:tc>
        <w:tc>
          <w:tcPr>
            <w:tcW w:type="dxa" w:w="26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“¿qué garantía tiene el pasto?”</w:t>
            </w:r>
          </w:p>
        </w:tc>
        <w:tc>
          <w:tcPr>
            <w:tcW w:type="dxa" w:w="14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Fid.</w:t>
            </w:r>
          </w:p>
        </w:tc>
        <w:tc>
          <w:tcPr>
            <w:tcW w:type="dxa" w:w="21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Si no hay información de garantía en el catálogo, lo indica sin inventar plazos.</w:t>
            </w:r>
          </w:p>
        </w:tc>
        <w:tc>
          <w:tcPr>
            <w:tcW w:type="dxa" w:w="241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Indicó que no maneja esa información y ofreció derivar la consulta al negocio.</w:t>
            </w:r>
          </w:p>
        </w:tc>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CT-10</w:t>
            </w:r>
          </w:p>
        </w:tc>
        <w:tc>
          <w:tcPr>
            <w:tcW w:type="dxa" w:w="26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“15 m² Pet-Friendly con instalación”</w:t>
            </w:r>
          </w:p>
        </w:tc>
        <w:tc>
          <w:tcPr>
            <w:tcW w:type="dxa" w:w="14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Fid.</w:t>
            </w:r>
          </w:p>
        </w:tc>
        <w:tc>
          <w:tcPr>
            <w:tcW w:type="dxa" w:w="21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17×$26.000 + 17×$4.500 = $442.000 + $76.500 = $518.500.</w:t>
            </w:r>
          </w:p>
        </w:tc>
        <w:tc>
          <w:tcPr>
            <w:tcW w:type="dxa" w:w="241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Cálculo exacto, coincide con caso verificado en suite Jest.</w:t>
            </w:r>
          </w:p>
        </w:tc>
        <w:tc>
          <w:tcPr>
            <w:tcW w:type="dxa" w:w="9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 Exitoso</w:t>
            </w:r>
          </w:p>
        </w:tc>
      </w:tr>
    </w:tbl>
    <w:p>
      <w:r>
        <w:br w:type="page"/>
      </w:r>
    </w:p>
    <w:p>
      <w:pPr>
        <w:pStyle w:val="Heading1"/>
        <w:pBdr>
          <w:bottom w:val="single" w:color="1A5276" w:sz="6" w:space="4"/>
        </w:pBdr>
        <w:spacing w:after="160" w:before="360"/>
      </w:pPr>
      <w:r>
        <w:rPr>
          <w:b/>
          <w:bCs/>
          <w:color w:val="1A5276"/>
          <w:sz w:val="32"/>
          <w:szCs w:val="32"/>
        </w:rPr>
        <w:t xml:space="preserve">7. Casos de Prueba — Contexto Multi-turno (CX-01 a CX-08)</w:t>
      </w:r>
    </w:p>
    <w:p>
      <w:pPr>
        <w:spacing w:after="120" w:before="60" w:line="276" w:lineRule="auto"/>
        <w:jc w:val="both"/>
      </w:pPr>
      <w:r>
        <w:rPr>
          <w:color w:val="000000"/>
          <w:sz w:val="21"/>
          <w:szCs w:val="21"/>
        </w:rPr>
        <w:t xml:space="preserve">Estos casos verifican que el agente conserva la información entregada en turnos anteriores durante toda la conversación, incluyendo correcciones de datos y retornos con cotizaciones activas.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0"/>
        <w:gridCol w:w="2650"/>
        <w:gridCol w:w="1450"/>
        <w:gridCol w:w="2100"/>
        <w:gridCol w:w="2410"/>
        <w:gridCol w:w="900"/>
      </w:tblGrid>
      <w:tr>
        <w:trPr>
          <w:tblHeader/>
        </w:trPr>
        <w:tc>
          <w:tcPr>
            <w:tcW w:type="dxa" w:w="75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ID</w:t>
            </w:r>
          </w:p>
        </w:tc>
        <w:tc>
          <w:tcPr>
            <w:tcW w:type="dxa" w:w="265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Escenario / Entrada del cliente</w:t>
            </w:r>
          </w:p>
        </w:tc>
        <w:tc>
          <w:tcPr>
            <w:tcW w:type="dxa" w:w="145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Criterio(s)</w:t>
            </w:r>
          </w:p>
        </w:tc>
        <w:tc>
          <w:tcPr>
            <w:tcW w:type="dxa" w:w="21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Resultado esperado</w:t>
            </w:r>
          </w:p>
        </w:tc>
        <w:tc>
          <w:tcPr>
            <w:tcW w:type="dxa" w:w="241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Resultado obtenido</w:t>
            </w:r>
          </w:p>
        </w:tc>
        <w:tc>
          <w:tcPr>
            <w:tcW w:type="dxa" w:w="9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Estado</w:t>
            </w:r>
          </w:p>
        </w:tc>
      </w:tr>
      <w:tr>
        <w:tc>
          <w:tcPr>
            <w:tcW w:type="dxa" w:w="7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CX-01</w:t>
            </w:r>
          </w:p>
        </w:tc>
        <w:tc>
          <w:tcPr>
            <w:tcW w:type="dxa" w:w="26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T1: “tengo un jardín de 8x5” · T2: “quiero Soft Touch” · T3: “¿cuánto sería?”</w:t>
            </w:r>
          </w:p>
        </w:tc>
        <w:tc>
          <w:tcPr>
            <w:tcW w:type="dxa" w:w="14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Ctx.</w:t>
            </w:r>
          </w:p>
        </w:tc>
        <w:tc>
          <w:tcPr>
            <w:tcW w:type="dxa" w:w="21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Recuerda 8×5=40 m² sin volver a pedir la medida.</w:t>
            </w:r>
          </w:p>
        </w:tc>
        <w:tc>
          <w:tcPr>
            <w:tcW w:type="dxa" w:w="241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Retomó 40 m² y el producto Soft Touch entregados en turnos anteriores. Total correcto.</w:t>
            </w:r>
          </w:p>
        </w:tc>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CX-02</w:t>
            </w:r>
          </w:p>
        </w:tc>
        <w:tc>
          <w:tcPr>
            <w:tcW w:type="dxa" w:w="26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T1: “necesito cotizar 30 m²” · T2: “con instalación” · T3: “¿me confirmas el total?”</w:t>
            </w:r>
          </w:p>
        </w:tc>
        <w:tc>
          <w:tcPr>
            <w:tcW w:type="dxa" w:w="14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Ctx.</w:t>
            </w:r>
          </w:p>
        </w:tc>
        <w:tc>
          <w:tcPr>
            <w:tcW w:type="dxa" w:w="21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Recuerda los 30 m² y la decisión de instalación entregados por separado.</w:t>
            </w:r>
          </w:p>
        </w:tc>
        <w:tc>
          <w:tcPr>
            <w:tcW w:type="dxa" w:w="241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Confirmó total incluyendo instalación sin volver a preguntar ningún dato.</w:t>
            </w:r>
          </w:p>
        </w:tc>
        <w:tc>
          <w:tcPr>
            <w:tcW w:type="dxa" w:w="9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CX-03</w:t>
            </w:r>
          </w:p>
        </w:tc>
        <w:tc>
          <w:tcPr>
            <w:tcW w:type="dxa" w:w="26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T1: “quiero Pet-Friendly” · T2: “son 22 m²” · T3: “olvida lo anterior, mejor Luxury Emerald” · T4: “¿cuánto es?”</w:t>
            </w:r>
          </w:p>
        </w:tc>
        <w:tc>
          <w:tcPr>
            <w:tcW w:type="dxa" w:w="14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Ctx.</w:t>
            </w:r>
          </w:p>
        </w:tc>
        <w:tc>
          <w:tcPr>
            <w:tcW w:type="dxa" w:w="21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Actualiza el producto sin mezclar precios de ambas líneas.</w:t>
            </w:r>
          </w:p>
        </w:tc>
        <w:tc>
          <w:tcPr>
            <w:tcW w:type="dxa" w:w="241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Reemplazó Pet-Friendly por Luxury Emerald correctamente; precio final solo de la línea vigente.</w:t>
            </w:r>
          </w:p>
        </w:tc>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CX-04</w:t>
            </w:r>
          </w:p>
        </w:tc>
        <w:tc>
          <w:tcPr>
            <w:tcW w:type="dxa" w:w="26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T1: flujo completo hasta cotización generada · T2: “¿me recuerdas el número de cotización?”</w:t>
            </w:r>
          </w:p>
        </w:tc>
        <w:tc>
          <w:tcPr>
            <w:tcW w:type="dxa" w:w="14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Ctx.</w:t>
            </w:r>
          </w:p>
        </w:tc>
        <w:tc>
          <w:tcPr>
            <w:tcW w:type="dxa" w:w="21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Recupera el número ya generado, sin crear uno nuevo.</w:t>
            </w:r>
          </w:p>
        </w:tc>
        <w:tc>
          <w:tcPr>
            <w:tcW w:type="dxa" w:w="241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Retornó el mismo número de cotización de la sesión, sin duplicar registro.</w:t>
            </w:r>
          </w:p>
        </w:tc>
        <w:tc>
          <w:tcPr>
            <w:tcW w:type="dxa" w:w="9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CX-05</w:t>
            </w:r>
          </w:p>
        </w:tc>
        <w:tc>
          <w:tcPr>
            <w:tcW w:type="dxa" w:w="26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T1: “mi nombre es María González” · (varios turnos después) el agente solicita datos para la cotización</w:t>
            </w:r>
          </w:p>
        </w:tc>
        <w:tc>
          <w:tcPr>
            <w:tcW w:type="dxa" w:w="14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Ctx.</w:t>
            </w:r>
          </w:p>
        </w:tc>
        <w:tc>
          <w:tcPr>
            <w:tcW w:type="dxa" w:w="21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Usa el nombre ya entregado sin volver a pedirlo.</w:t>
            </w:r>
          </w:p>
        </w:tc>
        <w:tc>
          <w:tcPr>
            <w:tcW w:type="dxa" w:w="241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Reutilizó el nombre entregado en el primer turno sin solicitarlo de nuevo.</w:t>
            </w:r>
          </w:p>
        </w:tc>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CX-06</w:t>
            </w:r>
          </w:p>
        </w:tc>
        <w:tc>
          <w:tcPr>
            <w:tcW w:type="dxa" w:w="26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Cliente retorna a la sesión con una cotización activa dentro de la ventana de 10 días.</w:t>
            </w:r>
          </w:p>
        </w:tc>
        <w:tc>
          <w:tcPr>
            <w:tcW w:type="dxa" w:w="14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Ctx.</w:t>
            </w:r>
          </w:p>
        </w:tc>
        <w:tc>
          <w:tcPr>
            <w:tcW w:type="dxa" w:w="21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Reconoce la cotización activa y no repite el flujo completo desde cero.</w:t>
            </w:r>
          </w:p>
        </w:tc>
        <w:tc>
          <w:tcPr>
            <w:tcW w:type="dxa" w:w="241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Sistema recuperó la cotización activa desde Supabase y ofreció continuar directo al pago.</w:t>
            </w:r>
          </w:p>
        </w:tc>
        <w:tc>
          <w:tcPr>
            <w:tcW w:type="dxa" w:w="9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CX-07</w:t>
            </w:r>
          </w:p>
        </w:tc>
        <w:tc>
          <w:tcPr>
            <w:tcW w:type="dxa" w:w="26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T1: “20 m²” · T2: cliente pregunta algo no relacionado · T3: retoma y responde el producto</w:t>
            </w:r>
          </w:p>
        </w:tc>
        <w:tc>
          <w:tcPr>
            <w:tcW w:type="dxa" w:w="14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Ctx.</w:t>
            </w:r>
          </w:p>
        </w:tc>
        <w:tc>
          <w:tcPr>
            <w:tcW w:type="dxa" w:w="21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Retoma el flujo sin perder el m² entregado en T1.</w:t>
            </w:r>
          </w:p>
        </w:tc>
        <w:tc>
          <w:tcPr>
            <w:tcW w:type="dxa" w:w="241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Mantuvo los 20 m² en memoria pese a la interrupción del tema no relacionado.</w:t>
            </w:r>
          </w:p>
        </w:tc>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CX-08</w:t>
            </w:r>
          </w:p>
        </w:tc>
        <w:tc>
          <w:tcPr>
            <w:tcW w:type="dxa" w:w="26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Conversación larga (&gt;15 turnos) con múltiples correcciones de datos (m², producto, instalación).</w:t>
            </w:r>
          </w:p>
        </w:tc>
        <w:tc>
          <w:tcPr>
            <w:tcW w:type="dxa" w:w="14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Ctx.</w:t>
            </w:r>
          </w:p>
        </w:tc>
        <w:tc>
          <w:tcPr>
            <w:tcW w:type="dxa" w:w="21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Mantiene consistente el último valor corregido de cada campo.</w:t>
            </w:r>
          </w:p>
        </w:tc>
        <w:tc>
          <w:tcPr>
            <w:tcW w:type="dxa" w:w="241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Conservó siempre el dato más reciente de cada campo corregido, sin mezclar versiones antiguas.</w:t>
            </w:r>
          </w:p>
        </w:tc>
        <w:tc>
          <w:tcPr>
            <w:tcW w:type="dxa" w:w="9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 Exitoso</w:t>
            </w:r>
          </w:p>
        </w:tc>
      </w:tr>
    </w:tbl>
    <w:p>
      <w:r>
        <w:br w:type="page"/>
      </w:r>
    </w:p>
    <w:p>
      <w:pPr>
        <w:pStyle w:val="Heading1"/>
        <w:pBdr>
          <w:bottom w:val="single" w:color="1A5276" w:sz="6" w:space="4"/>
        </w:pBdr>
        <w:spacing w:after="160" w:before="360"/>
      </w:pPr>
      <w:r>
        <w:rPr>
          <w:b/>
          <w:bCs/>
          <w:color w:val="1A5276"/>
          <w:sz w:val="32"/>
          <w:szCs w:val="32"/>
        </w:rPr>
        <w:t xml:space="preserve">8. Casos de Prueba — Respuesta Directa y Dominio de Negocio (RD-01 a RD-08)</w:t>
      </w:r>
    </w:p>
    <w:p>
      <w:pPr>
        <w:spacing w:after="120" w:before="60" w:line="276" w:lineRule="auto"/>
        <w:jc w:val="both"/>
      </w:pPr>
      <w:r>
        <w:rPr>
          <w:color w:val="000000"/>
          <w:sz w:val="21"/>
          <w:szCs w:val="21"/>
        </w:rPr>
        <w:t xml:space="preserve">Estos casos verifican que el agente responde de forma directa a lo consultado y se mantiene siempre dentro de su dominio de negocio: la venta de pasto sintético, sin desviarse hacia temas ajenos.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0"/>
        <w:gridCol w:w="2650"/>
        <w:gridCol w:w="1450"/>
        <w:gridCol w:w="2100"/>
        <w:gridCol w:w="2410"/>
        <w:gridCol w:w="900"/>
      </w:tblGrid>
      <w:tr>
        <w:trPr>
          <w:tblHeader/>
        </w:trPr>
        <w:tc>
          <w:tcPr>
            <w:tcW w:type="dxa" w:w="75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ID</w:t>
            </w:r>
          </w:p>
        </w:tc>
        <w:tc>
          <w:tcPr>
            <w:tcW w:type="dxa" w:w="265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Escenario / Entrada del cliente</w:t>
            </w:r>
          </w:p>
        </w:tc>
        <w:tc>
          <w:tcPr>
            <w:tcW w:type="dxa" w:w="145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Criterio(s)</w:t>
            </w:r>
          </w:p>
        </w:tc>
        <w:tc>
          <w:tcPr>
            <w:tcW w:type="dxa" w:w="21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Resultado esperado</w:t>
            </w:r>
          </w:p>
        </w:tc>
        <w:tc>
          <w:tcPr>
            <w:tcW w:type="dxa" w:w="241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Resultado obtenido</w:t>
            </w:r>
          </w:p>
        </w:tc>
        <w:tc>
          <w:tcPr>
            <w:tcW w:type="dxa" w:w="9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Estado</w:t>
            </w:r>
          </w:p>
        </w:tc>
      </w:tr>
      <w:tr>
        <w:tc>
          <w:tcPr>
            <w:tcW w:type="dxa" w:w="7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RD-01 (H-27)</w:t>
            </w:r>
          </w:p>
        </w:tc>
        <w:tc>
          <w:tcPr>
            <w:tcW w:type="dxa" w:w="26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“hola, quiero información sobre el pasto”</w:t>
            </w:r>
          </w:p>
        </w:tc>
        <w:tc>
          <w:tcPr>
            <w:tcW w:type="dxa" w:w="14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Resp.</w:t>
            </w:r>
          </w:p>
        </w:tc>
        <w:tc>
          <w:tcPr>
            <w:tcW w:type="dxa" w:w="21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Entrega catálogo resumido de inmediato, sin solo cualificar el espacio.</w:t>
            </w:r>
          </w:p>
        </w:tc>
        <w:tc>
          <w:tcPr>
            <w:tcW w:type="dxa" w:w="241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Hallazgo inicial (DEF-004): el agente solo cualificaba sin usar el catálogo. Corregido: se ajustó el system prompt para priorizar el catálogo ante solicitudes directas de información.</w:t>
            </w:r>
          </w:p>
        </w:tc>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 Corregido</w:t>
            </w:r>
          </w:p>
        </w:tc>
      </w:tr>
      <w:tr>
        <w:tc>
          <w:tcPr>
            <w:tcW w:type="dxa" w:w="7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RD-02</w:t>
            </w:r>
          </w:p>
        </w:tc>
        <w:tc>
          <w:tcPr>
            <w:tcW w:type="dxa" w:w="26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“¿qué opinas de la situación política de Chile?”</w:t>
            </w:r>
          </w:p>
        </w:tc>
        <w:tc>
          <w:tcPr>
            <w:tcW w:type="dxa" w:w="14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Resp.</w:t>
            </w:r>
          </w:p>
        </w:tc>
        <w:tc>
          <w:tcPr>
            <w:tcW w:type="dxa" w:w="21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Redirige cortésmente al negocio, sin opinar sobre temas ajenos.</w:t>
            </w:r>
          </w:p>
        </w:tc>
        <w:tc>
          <w:tcPr>
            <w:tcW w:type="dxa" w:w="241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Declinó opinar y redirigió la conversación hacia el catálogo de pasto sintético.</w:t>
            </w:r>
          </w:p>
        </w:tc>
        <w:tc>
          <w:tcPr>
            <w:tcW w:type="dxa" w:w="9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RD-03</w:t>
            </w:r>
          </w:p>
        </w:tc>
        <w:tc>
          <w:tcPr>
            <w:tcW w:type="dxa" w:w="26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“véndeme un auto usado”</w:t>
            </w:r>
          </w:p>
        </w:tc>
        <w:tc>
          <w:tcPr>
            <w:tcW w:type="dxa" w:w="14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Resp.</w:t>
            </w:r>
          </w:p>
        </w:tc>
        <w:tc>
          <w:tcPr>
            <w:tcW w:type="dxa" w:w="21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Aclara que solo vende pasto sintético, no otros productos.</w:t>
            </w:r>
          </w:p>
        </w:tc>
        <w:tc>
          <w:tcPr>
            <w:tcW w:type="dxa" w:w="241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Aclaró el rubro del negocio sin intentar “improvisar” una venta fuera de catálogo.</w:t>
            </w:r>
          </w:p>
        </w:tc>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RD-04</w:t>
            </w:r>
          </w:p>
        </w:tc>
        <w:tc>
          <w:tcPr>
            <w:tcW w:type="dxa" w:w="26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“hazme una tarea de matemáticas”</w:t>
            </w:r>
          </w:p>
        </w:tc>
        <w:tc>
          <w:tcPr>
            <w:tcW w:type="dxa" w:w="14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Resp.</w:t>
            </w:r>
          </w:p>
        </w:tc>
        <w:tc>
          <w:tcPr>
            <w:tcW w:type="dxa" w:w="21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Rechaza la solicitud y redirige al negocio.</w:t>
            </w:r>
          </w:p>
        </w:tc>
        <w:tc>
          <w:tcPr>
            <w:tcW w:type="dxa" w:w="241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Declinó la tarea y ofreció ayuda con cotizaciones de pasto sintético.</w:t>
            </w:r>
          </w:p>
        </w:tc>
        <w:tc>
          <w:tcPr>
            <w:tcW w:type="dxa" w:w="9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RD-05</w:t>
            </w:r>
          </w:p>
        </w:tc>
        <w:tc>
          <w:tcPr>
            <w:tcW w:type="dxa" w:w="26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“¿cuál es la capital de Francia?”</w:t>
            </w:r>
          </w:p>
        </w:tc>
        <w:tc>
          <w:tcPr>
            <w:tcW w:type="dxa" w:w="14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Resp.</w:t>
            </w:r>
          </w:p>
        </w:tc>
        <w:tc>
          <w:tcPr>
            <w:tcW w:type="dxa" w:w="21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No responde la pregunta general; redirige de forma directa al negocio.</w:t>
            </w:r>
          </w:p>
        </w:tc>
        <w:tc>
          <w:tcPr>
            <w:tcW w:type="dxa" w:w="241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No respondió la pregunta de cultura general; redirigió al catálogo.</w:t>
            </w:r>
          </w:p>
        </w:tc>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RD-06</w:t>
            </w:r>
          </w:p>
        </w:tc>
        <w:tc>
          <w:tcPr>
            <w:tcW w:type="dxa" w:w="26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“cuéntame un chiste”</w:t>
            </w:r>
          </w:p>
        </w:tc>
        <w:tc>
          <w:tcPr>
            <w:tcW w:type="dxa" w:w="14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Resp.</w:t>
            </w:r>
          </w:p>
        </w:tc>
        <w:tc>
          <w:tcPr>
            <w:tcW w:type="dxa" w:w="21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Mantiene el tono profesional del negocio sin ser brusco.</w:t>
            </w:r>
          </w:p>
        </w:tc>
        <w:tc>
          <w:tcPr>
            <w:tcW w:type="dxa" w:w="241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Respondió con cordialidad, sin chiste, redirigiendo al negocio.</w:t>
            </w:r>
          </w:p>
        </w:tc>
        <w:tc>
          <w:tcPr>
            <w:tcW w:type="dxa" w:w="9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RD-07</w:t>
            </w:r>
          </w:p>
        </w:tc>
        <w:tc>
          <w:tcPr>
            <w:tcW w:type="dxa" w:w="26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“necesito instalar cerámica, ¿ustedes hacen eso?”</w:t>
            </w:r>
          </w:p>
        </w:tc>
        <w:tc>
          <w:tcPr>
            <w:tcW w:type="dxa" w:w="14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Resp. / Fid.</w:t>
            </w:r>
          </w:p>
        </w:tc>
        <w:tc>
          <w:tcPr>
            <w:tcW w:type="dxa" w:w="21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Aclara que no ofrece ese servicio, sin inventar que sí lo hace.</w:t>
            </w:r>
          </w:p>
        </w:tc>
        <w:tc>
          <w:tcPr>
            <w:tcW w:type="dxa" w:w="241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Aclaró que el servicio se limita a pasto sintético e instalación asociada.</w:t>
            </w:r>
          </w:p>
        </w:tc>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RD-08</w:t>
            </w:r>
          </w:p>
        </w:tc>
        <w:tc>
          <w:tcPr>
            <w:tcW w:type="dxa" w:w="26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“¿cuánto cuesta el pasto natural (no sintético)?”</w:t>
            </w:r>
          </w:p>
        </w:tc>
        <w:tc>
          <w:tcPr>
            <w:tcW w:type="dxa" w:w="14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Resp. / Fid.</w:t>
            </w:r>
          </w:p>
        </w:tc>
        <w:tc>
          <w:tcPr>
            <w:tcW w:type="dxa" w:w="21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Aclara que solo vende pasto sintético, sin inventar precios de pasto natural.</w:t>
            </w:r>
          </w:p>
        </w:tc>
        <w:tc>
          <w:tcPr>
            <w:tcW w:type="dxa" w:w="241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Aclaró el alcance del negocio sin generar un precio inexistente.</w:t>
            </w:r>
          </w:p>
        </w:tc>
        <w:tc>
          <w:tcPr>
            <w:tcW w:type="dxa" w:w="9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 Exitoso</w:t>
            </w:r>
          </w:p>
        </w:tc>
      </w:tr>
    </w:tbl>
    <w:p>
      <w:r>
        <w:br w:type="page"/>
      </w:r>
    </w:p>
    <w:p>
      <w:pPr>
        <w:pStyle w:val="Heading1"/>
        <w:pBdr>
          <w:bottom w:val="single" w:color="1A5276" w:sz="6" w:space="4"/>
        </w:pBdr>
        <w:spacing w:after="160" w:before="360"/>
      </w:pPr>
      <w:r>
        <w:rPr>
          <w:b/>
          <w:bCs/>
          <w:color w:val="1A5276"/>
          <w:sz w:val="32"/>
          <w:szCs w:val="32"/>
        </w:rPr>
        <w:t xml:space="preserve">9. Casos de Prueba — Casos Límite (EC-01 a EC-06)</w:t>
      </w:r>
    </w:p>
    <w:p>
      <w:pPr>
        <w:spacing w:after="120" w:before="60" w:line="276" w:lineRule="auto"/>
        <w:jc w:val="both"/>
      </w:pPr>
      <w:r>
        <w:rPr>
          <w:color w:val="000000"/>
          <w:sz w:val="21"/>
          <w:szCs w:val="21"/>
        </w:rPr>
        <w:t xml:space="preserve">Estos casos verifican el comportamiento del agente ante entradas ambiguas, con errores ortográficos, vacías o inválidas.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0"/>
        <w:gridCol w:w="2650"/>
        <w:gridCol w:w="1450"/>
        <w:gridCol w:w="2100"/>
        <w:gridCol w:w="2410"/>
        <w:gridCol w:w="900"/>
      </w:tblGrid>
      <w:tr>
        <w:trPr>
          <w:tblHeader/>
        </w:trPr>
        <w:tc>
          <w:tcPr>
            <w:tcW w:type="dxa" w:w="75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ID</w:t>
            </w:r>
          </w:p>
        </w:tc>
        <w:tc>
          <w:tcPr>
            <w:tcW w:type="dxa" w:w="265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Escenario / Entrada del cliente</w:t>
            </w:r>
          </w:p>
        </w:tc>
        <w:tc>
          <w:tcPr>
            <w:tcW w:type="dxa" w:w="145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Criterio(s)</w:t>
            </w:r>
          </w:p>
        </w:tc>
        <w:tc>
          <w:tcPr>
            <w:tcW w:type="dxa" w:w="21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Resultado esperado</w:t>
            </w:r>
          </w:p>
        </w:tc>
        <w:tc>
          <w:tcPr>
            <w:tcW w:type="dxa" w:w="241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Resultado obtenido</w:t>
            </w:r>
          </w:p>
        </w:tc>
        <w:tc>
          <w:tcPr>
            <w:tcW w:type="dxa" w:w="9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Estado</w:t>
            </w:r>
          </w:p>
        </w:tc>
      </w:tr>
      <w:tr>
        <w:tc>
          <w:tcPr>
            <w:tcW w:type="dxa" w:w="7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EC-01</w:t>
            </w:r>
          </w:p>
        </w:tc>
        <w:tc>
          <w:tcPr>
            <w:tcW w:type="dxa" w:w="26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“quiero pasto” (sin espacio ni medida especificada)</w:t>
            </w:r>
          </w:p>
        </w:tc>
        <w:tc>
          <w:tcPr>
            <w:tcW w:type="dxa" w:w="14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Fid. / Ctx.</w:t>
            </w:r>
          </w:p>
        </w:tc>
        <w:tc>
          <w:tcPr>
            <w:tcW w:type="dxa" w:w="21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Solicita la información faltante en orden lógico, sin asumir datos.</w:t>
            </w:r>
          </w:p>
        </w:tc>
        <w:tc>
          <w:tcPr>
            <w:tcW w:type="dxa" w:w="241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Preguntó tipo de espacio y luego medidas, sin asumir valores por defecto.</w:t>
            </w:r>
          </w:p>
        </w:tc>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EC-02</w:t>
            </w:r>
          </w:p>
        </w:tc>
        <w:tc>
          <w:tcPr>
            <w:tcW w:type="dxa" w:w="26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“no sé cuánto mide, como 5x8 más o menos”</w:t>
            </w:r>
          </w:p>
        </w:tc>
        <w:tc>
          <w:tcPr>
            <w:tcW w:type="dxa" w:w="14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Fid.</w:t>
            </w:r>
          </w:p>
        </w:tc>
        <w:tc>
          <w:tcPr>
            <w:tcW w:type="dxa" w:w="21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Procesa la medida aproximada y aplica el margen técnico igual.</w:t>
            </w:r>
          </w:p>
        </w:tc>
        <w:tc>
          <w:tcPr>
            <w:tcW w:type="dxa" w:w="241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Interpretó 5×8=40 m² y aplicó el margen del 10% correctamente.</w:t>
            </w:r>
          </w:p>
        </w:tc>
        <w:tc>
          <w:tcPr>
            <w:tcW w:type="dxa" w:w="9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EC-03</w:t>
            </w:r>
          </w:p>
        </w:tc>
        <w:tc>
          <w:tcPr>
            <w:tcW w:type="dxa" w:w="26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“en realidad no quiero cotizar, era solo curiosidad”</w:t>
            </w:r>
          </w:p>
        </w:tc>
        <w:tc>
          <w:tcPr>
            <w:tcW w:type="dxa" w:w="14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Resp.</w:t>
            </w:r>
          </w:p>
        </w:tc>
        <w:tc>
          <w:tcPr>
            <w:tcW w:type="dxa" w:w="21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Cierra la conversación cordialmente sin forzar el flujo de venta.</w:t>
            </w:r>
          </w:p>
        </w:tc>
        <w:tc>
          <w:tcPr>
            <w:tcW w:type="dxa" w:w="241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Cerró de forma cordial, sin insistir en continuar la cotización.</w:t>
            </w:r>
          </w:p>
        </w:tc>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EC-04</w:t>
            </w:r>
          </w:p>
        </w:tc>
        <w:tc>
          <w:tcPr>
            <w:tcW w:type="dxa" w:w="26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“nesesito kotisar 20 metros kuadrados” (errores ortográficos severos)</w:t>
            </w:r>
          </w:p>
        </w:tc>
        <w:tc>
          <w:tcPr>
            <w:tcW w:type="dxa" w:w="14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Fid.</w:t>
            </w:r>
          </w:p>
        </w:tc>
        <w:tc>
          <w:tcPr>
            <w:tcW w:type="dxa" w:w="21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Interpreta correctamente la intención pese a los errores.</w:t>
            </w:r>
          </w:p>
        </w:tc>
        <w:tc>
          <w:tcPr>
            <w:tcW w:type="dxa" w:w="241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Entendió “cotizar 20 m²” y continuó el flujo con normalidad.</w:t>
            </w:r>
          </w:p>
        </w:tc>
        <w:tc>
          <w:tcPr>
            <w:tcW w:type="dxa" w:w="9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EC-05</w:t>
            </w:r>
          </w:p>
        </w:tc>
        <w:tc>
          <w:tcPr>
            <w:tcW w:type="dxa" w:w="26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Mensaje vacío o solo un emoji (“👍”)</w:t>
            </w:r>
          </w:p>
        </w:tc>
        <w:tc>
          <w:tcPr>
            <w:tcW w:type="dxa" w:w="145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Resp.</w:t>
            </w:r>
          </w:p>
        </w:tc>
        <w:tc>
          <w:tcPr>
            <w:tcW w:type="dxa" w:w="21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Responde pidiendo aclaración, sin fallar ni quedar en silencio.</w:t>
            </w:r>
          </w:p>
        </w:tc>
        <w:tc>
          <w:tcPr>
            <w:tcW w:type="dxa" w:w="241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Solicitó aclaración de forma amable; no se cayó el flujo.</w:t>
            </w:r>
          </w:p>
        </w:tc>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 Exitoso</w:t>
            </w:r>
          </w:p>
        </w:tc>
      </w:tr>
      <w:tr>
        <w:tc>
          <w:tcPr>
            <w:tcW w:type="dxa" w:w="7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EC-06</w:t>
            </w:r>
          </w:p>
        </w:tc>
        <w:tc>
          <w:tcPr>
            <w:tcW w:type="dxa" w:w="26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Cliente solicita cotización para 0 m² o un valor negativo.</w:t>
            </w:r>
          </w:p>
        </w:tc>
        <w:tc>
          <w:tcPr>
            <w:tcW w:type="dxa" w:w="145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Fid.</w:t>
            </w:r>
          </w:p>
        </w:tc>
        <w:tc>
          <w:tcPr>
            <w:tcW w:type="dxa" w:w="21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Rechaza con mensaje de error claro, sin generar una cotización inválida.</w:t>
            </w:r>
          </w:p>
        </w:tc>
        <w:tc>
          <w:tcPr>
            <w:tcW w:type="dxa" w:w="241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Mostró error “las dimensiones deben ser mayores a 0”. Sin cotización generada.</w:t>
            </w:r>
          </w:p>
        </w:tc>
        <w:tc>
          <w:tcPr>
            <w:tcW w:type="dxa" w:w="9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 Exitoso</w:t>
            </w:r>
          </w:p>
        </w:tc>
      </w:tr>
    </w:tbl>
    <w:p>
      <w:r>
        <w:br w:type="page"/>
      </w:r>
    </w:p>
    <w:p>
      <w:pPr>
        <w:pStyle w:val="Heading1"/>
        <w:pBdr>
          <w:bottom w:val="single" w:color="1A5276" w:sz="6" w:space="4"/>
        </w:pBdr>
        <w:spacing w:after="160" w:before="360"/>
      </w:pPr>
      <w:r>
        <w:rPr>
          <w:b/>
          <w:bCs/>
          <w:color w:val="1A5276"/>
          <w:sz w:val="32"/>
          <w:szCs w:val="32"/>
        </w:rPr>
        <w:t xml:space="preserve">10. Resultados Consolidados</w:t>
      </w:r>
    </w:p>
    <w:p>
      <w:pPr>
        <w:spacing w:after="120" w:before="60" w:line="276" w:lineRule="auto"/>
        <w:jc w:val="both"/>
      </w:pPr>
      <w:r>
        <w:rPr>
          <w:color w:val="000000"/>
          <w:sz w:val="21"/>
          <w:szCs w:val="21"/>
        </w:rPr>
        <w:t xml:space="preserve">La siguiente tabla resume el resultado de los 40 casos de prueba manuales por criterio evaluado, consistente con la Sección 16 del Informe Final.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2760"/>
        <w:gridCol w:w="2000"/>
      </w:tblGrid>
      <w:tr>
        <w:trPr>
          <w:tblHeader/>
        </w:trPr>
        <w:tc>
          <w:tcPr>
            <w:tcW w:type="dxa" w:w="28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Criterio</w:t>
            </w:r>
          </w:p>
        </w:tc>
        <w:tc>
          <w:tcPr>
            <w:tcW w:type="dxa" w:w="18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Casos evaluados</w:t>
            </w:r>
          </w:p>
        </w:tc>
        <w:tc>
          <w:tcPr>
            <w:tcW w:type="dxa" w:w="276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Resultado</w:t>
            </w:r>
          </w:p>
        </w:tc>
        <w:tc>
          <w:tcPr>
            <w:tcW w:type="dxa" w:w="20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Estado</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Faithfulness (Fidelidad)</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40</w:t>
            </w:r>
          </w:p>
        </w:tc>
        <w:tc>
          <w:tcPr>
            <w:tcW w:type="dxa" w:w="27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40/40 simulaciones exitosas, sin errores</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 Cumplido</w:t>
            </w:r>
          </w:p>
        </w:tc>
      </w:tr>
      <w:tr>
        <w:tc>
          <w:tcPr>
            <w:tcW w:type="dxa" w:w="28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Context Relevancy (Contexto)</w:t>
            </w:r>
          </w:p>
        </w:tc>
        <w:tc>
          <w:tcPr>
            <w:tcW w:type="dxa" w:w="18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40</w:t>
            </w:r>
          </w:p>
        </w:tc>
        <w:tc>
          <w:tcPr>
            <w:tcW w:type="dxa" w:w="27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40/40 simulaciones exitosas, sin errores</w:t>
            </w:r>
          </w:p>
        </w:tc>
        <w:tc>
          <w:tcPr>
            <w:tcW w:type="dxa" w:w="2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center"/>
            </w:pPr>
            <w:r>
              <w:rPr>
                <w:color w:val="000000"/>
                <w:sz w:val="16"/>
                <w:szCs w:val="16"/>
              </w:rPr>
              <w:t xml:space="preserve">✓ Cumplido</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Answer Relevancy (Respuesta directa)</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40</w:t>
            </w:r>
          </w:p>
        </w:tc>
        <w:tc>
          <w:tcPr>
            <w:tcW w:type="dxa" w:w="27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39/40 → 40/40 (1 caso corregido: DEF-004, sesión RD-01/H-27)</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6"/>
                <w:szCs w:val="16"/>
              </w:rPr>
              <w:t xml:space="preserve">✓ Cumplido</w:t>
            </w:r>
          </w:p>
        </w:tc>
      </w:tr>
    </w:tbl>
    <w:p>
      <w:pPr>
        <w:spacing w:after="120"/>
      </w:pPr>
    </w:p>
    <w:p>
      <w:pPr>
        <w:spacing w:after="120" w:before="120" w:line="276" w:lineRule="auto"/>
        <w:jc w:val="both"/>
      </w:pPr>
      <w:r>
        <w:rPr>
          <w:color w:val="000000"/>
          <w:sz w:val="21"/>
          <w:szCs w:val="21"/>
        </w:rPr>
        <w:t xml:space="preserve">Hallazgo y corrección: la sesión RD-01 (= H-27 en el Informe Final) detectó que el agente respondía con cualificación ante una solicitud directa de información general, sin aprovechar el catálogo disponible en su contexto (DEF-004, severidad Baja). Se aplicó una corrección en el system prompt para priorizar el uso del catálogo ante este tipo de solicitudes, y el caso fue re-evaluado exitosamente. No impactó el flujo de cotización en ningún momento.</w:t>
      </w:r>
    </w:p>
    <w:p>
      <w:pPr>
        <w:spacing w:after="120"/>
      </w:pPr>
    </w:p>
    <w:p>
      <w:pPr>
        <w:spacing w:after="120" w:before="60" w:line="276" w:lineRule="auto"/>
        <w:jc w:val="both"/>
      </w:pPr>
      <w:r>
        <w:rPr>
          <w:b/>
          <w:bCs/>
          <w:color w:val="000000"/>
          <w:sz w:val="21"/>
          <w:szCs w:val="21"/>
        </w:rPr>
        <w:t xml:space="preserve">Resultado global: 40/40 casos de prueba manuales evaluados como exitosos tras la corrección aplicada. 0 defectos abiertos. Criterio de aprobación RAGAS cumplido en las tres dimensiones evaluadas.</w:t>
      </w:r>
    </w:p>
    <w:p>
      <w:pPr>
        <w:pStyle w:val="Heading1"/>
        <w:pBdr>
          <w:bottom w:val="single" w:color="1A5276" w:sz="6" w:space="4"/>
        </w:pBdr>
        <w:spacing w:after="160" w:before="360"/>
      </w:pPr>
      <w:r>
        <w:rPr>
          <w:b/>
          <w:bCs/>
          <w:color w:val="1A5276"/>
          <w:sz w:val="32"/>
          <w:szCs w:val="32"/>
        </w:rPr>
        <w:t xml:space="preserve">11. Trazabilidad con el Informe Final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400"/>
        <w:gridCol w:w="2560"/>
      </w:tblGrid>
      <w:tr>
        <w:trPr>
          <w:tblHeader/>
        </w:trPr>
        <w:tc>
          <w:tcPr>
            <w:tcW w:type="dxa" w:w="34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Sección de este Plan</w:t>
            </w:r>
          </w:p>
        </w:tc>
        <w:tc>
          <w:tcPr>
            <w:tcW w:type="dxa" w:w="34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Sección del Informe Final</w:t>
            </w:r>
          </w:p>
        </w:tc>
        <w:tc>
          <w:tcPr>
            <w:tcW w:type="dxa" w:w="256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7"/>
                <w:szCs w:val="17"/>
              </w:rPr>
              <w:t xml:space="preserve">Contenido compartido</w:t>
            </w:r>
          </w:p>
        </w:tc>
      </w:tr>
      <w:tr>
        <w:tc>
          <w:tcPr>
            <w:tcW w:type="dxa" w:w="34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3. Criterios de Evaluación</w:t>
            </w:r>
          </w:p>
        </w:tc>
        <w:tc>
          <w:tcPr>
            <w:tcW w:type="dxa" w:w="34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16. Evaluación de Calidad del Agente IA</w:t>
            </w:r>
          </w:p>
        </w:tc>
        <w:tc>
          <w:tcPr>
            <w:tcW w:type="dxa" w:w="25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Definición de Faithfulness, Context Relevancy y Answer Relevancy</w:t>
            </w:r>
          </w:p>
        </w:tc>
      </w:tr>
      <w:tr>
        <w:tc>
          <w:tcPr>
            <w:tcW w:type="dxa" w:w="34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5. Casos PM-01 a PM-04</w:t>
            </w:r>
          </w:p>
        </w:tc>
        <w:tc>
          <w:tcPr>
            <w:tcW w:type="dxa" w:w="34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16. Evaluación Detallada por Conversación</w:t>
            </w:r>
          </w:p>
        </w:tc>
        <w:tc>
          <w:tcPr>
            <w:tcW w:type="dxa" w:w="2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Sesiones PM-01, PM-02, PM-03, PM-04 (mismo ID y resultado)</w:t>
            </w:r>
          </w:p>
        </w:tc>
      </w:tr>
      <w:tr>
        <w:tc>
          <w:tcPr>
            <w:tcW w:type="dxa" w:w="34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6 y 8. Casos CT-01/CT-02 y RD-01</w:t>
            </w:r>
          </w:p>
        </w:tc>
        <w:tc>
          <w:tcPr>
            <w:tcW w:type="dxa" w:w="34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16. Evaluación Detallada por Conversación</w:t>
            </w:r>
          </w:p>
        </w:tc>
        <w:tc>
          <w:tcPr>
            <w:tcW w:type="dxa" w:w="25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Sesiones H-28, H-29 y H-27 (mismo ID y resultado)</w:t>
            </w:r>
          </w:p>
        </w:tc>
      </w:tr>
      <w:tr>
        <w:tc>
          <w:tcPr>
            <w:tcW w:type="dxa" w:w="34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10. Resultados Consolidados</w:t>
            </w:r>
          </w:p>
        </w:tc>
        <w:tc>
          <w:tcPr>
            <w:tcW w:type="dxa" w:w="34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16. Cuadro Consolidado de Métricas del Proyecto</w:t>
            </w:r>
          </w:p>
        </w:tc>
        <w:tc>
          <w:tcPr>
            <w:tcW w:type="dxa" w:w="256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vAlign w:val="center"/>
          </w:tcPr>
          <w:p>
            <w:pPr>
              <w:jc w:val="left"/>
            </w:pPr>
            <w:r>
              <w:rPr>
                <w:color w:val="000000"/>
                <w:sz w:val="16"/>
                <w:szCs w:val="16"/>
              </w:rPr>
              <w:t xml:space="preserve">Resultados por criterio RAGAS (pruebas manuales)</w:t>
            </w:r>
          </w:p>
        </w:tc>
      </w:tr>
      <w:tr>
        <w:tc>
          <w:tcPr>
            <w:tcW w:type="dxa" w:w="34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10. Resultados Consolidados</w:t>
            </w:r>
          </w:p>
        </w:tc>
        <w:tc>
          <w:tcPr>
            <w:tcW w:type="dxa" w:w="34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13. Métricas de Éxito</w:t>
            </w:r>
          </w:p>
        </w:tc>
        <w:tc>
          <w:tcPr>
            <w:tcW w:type="dxa" w:w="25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6"/>
                <w:szCs w:val="16"/>
              </w:rPr>
              <w:t xml:space="preserve">Filas “Calidad del agente — Faithfulness / Contexto / Answer Relevancy”</w:t>
            </w:r>
          </w:p>
        </w:tc>
      </w:tr>
    </w:tbl>
    <w:p>
      <w:pPr>
        <w:spacing w:after="200"/>
      </w:pPr>
    </w:p>
    <w:p>
      <w:pPr>
        <w:pBdr>
          <w:top w:val="single" w:color="CCCCCC" w:sz="4" w:space="8"/>
        </w:pBdr>
        <w:spacing w:before="300"/>
        <w:jc w:val="center"/>
      </w:pPr>
      <w:r>
        <w:rPr>
          <w:i/>
          <w:iCs/>
          <w:color w:val="595959"/>
          <w:sz w:val="17"/>
          <w:szCs w:val="17"/>
        </w:rPr>
        <w:t xml:space="preserve">Trato Hecho  ·  Plan de Pruebas — Evaluación RAGAS Manual v1.0  ·  DuocUC 2026</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Plan de Pruebas RAGAS Manual — Trato Hecho · Página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A5276"/>
      <w:sz w:val="32"/>
      <w:szCs w:val="32"/>
    </w:rPr>
  </w:style>
  <w:style w:type="paragraph" w:styleId="Heading2">
    <w:name w:val="Heading 2"/>
    <w:basedOn w:val="Normal"/>
    <w:next w:val="Normal"/>
    <w:qFormat/>
    <w:pPr>
      <w:spacing w:after="120" w:before="240"/>
      <w:outlineLvl w:val="1"/>
    </w:pPr>
    <w:rPr>
      <w:rFonts w:ascii="Calibri" w:cs="Calibri" w:eastAsia="Calibri" w:hAnsi="Calibri"/>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2026-07-09T05:19:04.378Z</dcterms:created>
  <dcterms:modified xsi:type="dcterms:W3CDTF">2026-07-09T05:19:04.379Z</dcterms:modified>
</cp:coreProperties>
</file>

<file path=docProps/custom.xml><?xml version="1.0" encoding="utf-8"?>
<Properties xmlns="http://schemas.openxmlformats.org/officeDocument/2006/custom-properties" xmlns:vt="http://schemas.openxmlformats.org/officeDocument/2006/docPropsVTypes"/>
</file>