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5276"/>
          <w:sz w:val="52"/>
          <w:szCs w:val="52"/>
        </w:rPr>
        <w:t xml:space="preserve">TRATO HECHO</w:t>
      </w:r>
    </w:p>
    <w:p>
      <w:pPr>
        <w:spacing w:after="80" w:before="0"/>
        <w:jc w:val="center"/>
      </w:pPr>
      <w:r>
        <w:rPr>
          <w:rFonts w:ascii="Arial" w:cs="Arial" w:eastAsia="Arial" w:hAnsi="Arial"/>
          <w:b/>
          <w:bCs/>
          <w:sz w:val="32"/>
          <w:szCs w:val="32"/>
        </w:rPr>
        <w:t xml:space="preserve">Evaluación de Calidad del Agente Conversacional</w:t>
      </w:r>
    </w:p>
    <w:p>
      <w:pPr>
        <w:spacing w:after="400" w:before="0"/>
        <w:jc w:val="center"/>
      </w:pPr>
      <w:r>
        <w:rPr>
          <w:rFonts w:ascii="Arial" w:cs="Arial" w:eastAsia="Arial" w:hAnsi="Arial"/>
          <w:i/>
          <w:iCs/>
          <w:color w:val="555555"/>
          <w:sz w:val="24"/>
          <w:szCs w:val="24"/>
        </w:rPr>
        <w:t xml:space="preserve">Marco RAGAS — Evaluación Manual sobre Datos Reales de Producción</w:t>
      </w:r>
    </w:p>
    <w:p>
      <w:pPr>
        <w:spacing w:after="80" w:before="0"/>
        <w:jc w:val="center"/>
      </w:pPr>
      <w:r>
        <w:rPr>
          <w:rFonts w:ascii="Arial" w:cs="Arial" w:eastAsia="Arial" w:hAnsi="Arial"/>
          <w:color w:val="444444"/>
          <w:sz w:val="20"/>
          <w:szCs w:val="20"/>
        </w:rPr>
        <w:t xml:space="preserve">Documento: 07_Evaluacion_RAGAS_Agente_IA.docx  ·  Versión 1.0  ·  Junio 2026</w:t>
      </w:r>
    </w:p>
    <w:p>
      <w:pPr>
        <w:spacing w:after="80" w:before="0"/>
        <w:jc w:val="center"/>
      </w:pPr>
      <w:r>
        <w:rPr>
          <w:rFonts w:ascii="Arial" w:cs="Arial" w:eastAsia="Arial" w:hAnsi="Arial"/>
          <w:color w:val="444444"/>
          <w:sz w:val="20"/>
          <w:szCs w:val="20"/>
        </w:rPr>
        <w:t xml:space="preserve">Agente evaluado: Queno  ·  Modelo: claude-sonnet-4-20250514</w:t>
      </w:r>
    </w:p>
    <w:p>
      <w:pPr>
        <w:spacing w:after="80" w:before="0"/>
        <w:jc w:val="center"/>
      </w:pPr>
      <w:r>
        <w:rPr>
          <w:rFonts w:ascii="Arial" w:cs="Arial" w:eastAsia="Arial" w:hAnsi="Arial"/>
          <w:color w:val="444444"/>
          <w:sz w:val="20"/>
          <w:szCs w:val="20"/>
        </w:rPr>
        <w:t xml:space="preserve">Fuente de datos: Supabase (historial real exportado)</w:t>
      </w:r>
    </w:p>
    <w:p>
      <w:pPr>
        <w:spacing w:after="80" w:before="0"/>
        <w:jc w:val="center"/>
      </w:pPr>
      <w:r>
        <w:rPr>
          <w:rFonts w:ascii="Arial" w:cs="Arial" w:eastAsia="Arial" w:hAnsi="Arial"/>
          <w:color w:val="444444"/>
          <w:sz w:val="20"/>
          <w:szCs w:val="20"/>
        </w:rPr>
        <w:t xml:space="preserve">Cristofer San Martín · Andrés Romero · Manuel Carvajal</w:t>
      </w:r>
    </w:p>
    <w:p>
      <w:pPr>
        <w:spacing w:after="80" w:before="80"/>
      </w:pPr>
      <w:r>
        <w:t xml:space="preserve"/>
      </w:r>
    </w:p>
    <w:p>
      <w:pPr>
        <w:pStyle w:val="Heading1"/>
        <w:pBdr>
          <w:bottom w:val="single" w:color="1A5276" w:sz="4" w:space="4"/>
        </w:pBdr>
        <w:spacing w:after="160" w:before="320"/>
      </w:pPr>
      <w:r>
        <w:rPr>
          <w:rFonts w:ascii="Arial" w:cs="Arial" w:eastAsia="Arial" w:hAnsi="Arial"/>
          <w:b/>
          <w:bCs/>
          <w:color w:val="1A5276"/>
          <w:sz w:val="28"/>
          <w:szCs w:val="28"/>
        </w:rPr>
        <w:t xml:space="preserve">1.  Introducción</w:t>
      </w:r>
    </w:p>
    <w:p>
      <w:pPr>
        <w:spacing w:after="80" w:before="80"/>
        <w:jc w:val="both"/>
      </w:pPr>
      <w:r>
        <w:rPr>
          <w:rFonts w:ascii="Arial" w:cs="Arial" w:eastAsia="Arial" w:hAnsi="Arial"/>
          <w:b w:val="false"/>
          <w:bCs w:val="false"/>
          <w:i w:val="false"/>
          <w:iCs w:val="false"/>
          <w:color w:val="1C1C1C"/>
          <w:sz w:val="22"/>
          <w:szCs w:val="22"/>
        </w:rPr>
        <w:t xml:space="preserve">El agente conversacional Queno, desarrollado sobre Claude Sonnet de Anthropic y orquestado mediante n8n, automatiza el proceso de cotización y pago de césped sintético para Césped Sintético SpA. Para evaluar la calidad de sus respuestas se aplicó el framework RAGAS (Retrieval-Augmented Generation Assessment), un estándar de evaluación sin referencias diseñado específicamente para sistemas que combinan recuperación de contexto con generación de lenguaje natural.</w:t>
      </w:r>
    </w:p>
    <w:p>
      <w:pPr>
        <w:spacing w:after="80" w:before="80"/>
      </w:pPr>
      <w:r>
        <w:t xml:space="preserve"/>
      </w:r>
    </w:p>
    <w:p>
      <w:pPr>
        <w:spacing w:after="80" w:before="80"/>
        <w:jc w:val="both"/>
      </w:pPr>
      <w:r>
        <w:rPr>
          <w:rFonts w:ascii="Arial" w:cs="Arial" w:eastAsia="Arial" w:hAnsi="Arial"/>
          <w:b w:val="false"/>
          <w:bCs w:val="false"/>
          <w:i w:val="false"/>
          <w:iCs w:val="false"/>
          <w:color w:val="1C1C1C"/>
          <w:sz w:val="22"/>
          <w:szCs w:val="22"/>
        </w:rPr>
        <w:t xml:space="preserve">A diferencia de métricas clásicas como BLEU o ROUGE, que requieren una respuesta de referencia gold-standard, RAGAS evalúa la calidad del sistema usando únicamente tres elementos disponibles en producción: la pregunta del usuario, el contexto recuperado por el sistema y la respuesta generada por el modelo. Estos tres elementos están disponibles en las tablas historial y cotizaciones de Supabase.</w:t>
      </w:r>
    </w:p>
    <w:p>
      <w:pPr>
        <w:spacing w:after="80" w:before="80"/>
      </w:pPr>
      <w:r>
        <w:t xml:space="preserve"/>
      </w:r>
    </w:p>
    <w:p>
      <w:pPr>
        <w:pStyle w:val="Heading2"/>
        <w:spacing w:after="120" w:before="240"/>
      </w:pPr>
      <w:r>
        <w:rPr>
          <w:rFonts w:ascii="Arial" w:cs="Arial" w:eastAsia="Arial" w:hAnsi="Arial"/>
          <w:b/>
          <w:bCs/>
          <w:color w:val="1A5276"/>
          <w:sz w:val="24"/>
          <w:szCs w:val="24"/>
        </w:rPr>
        <w:t xml:space="preserve">1.1  Metodología aplicada</w:t>
      </w:r>
    </w:p>
    <w:p>
      <w:pPr>
        <w:spacing w:after="80" w:before="80"/>
        <w:jc w:val="both"/>
      </w:pPr>
      <w:r>
        <w:rPr>
          <w:rFonts w:ascii="Arial" w:cs="Arial" w:eastAsia="Arial" w:hAnsi="Arial"/>
          <w:b w:val="false"/>
          <w:bCs w:val="false"/>
          <w:i w:val="false"/>
          <w:iCs w:val="false"/>
          <w:color w:val="1C1C1C"/>
          <w:sz w:val="22"/>
          <w:szCs w:val="22"/>
        </w:rPr>
        <w:t xml:space="preserve">Dado que el flujo n8n actual no implementa un nodo evaluador automático, la evaluación se realizó de forma manual sobre una muestra de 7 conversaciones reales exportadas desde Supabase. Para cada conversación se evaluaron criterio por criterio las tres métricas RAGAS, asignando un score de 0 a 1 según los criterios definidos en la sección 3.</w:t>
      </w:r>
    </w:p>
    <w:p>
      <w:pPr>
        <w:spacing w:after="80" w:before="8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rPr>
          <w:tblHeader/>
        </w:trPr>
        <w:tc>
          <w:tcPr>
            <w:tcW w:type="dxa" w:w="30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Parámetro</w:t>
            </w:r>
          </w:p>
        </w:tc>
        <w:tc>
          <w:tcPr>
            <w:tcW w:type="dxa" w:w="5788"/>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Valor</w:t>
            </w:r>
          </w:p>
        </w:tc>
      </w:tr>
      <w:tr>
        <w:tc>
          <w:tcPr>
            <w:tcW w:type="dxa" w:w="3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Método</w:t>
            </w:r>
          </w:p>
        </w:tc>
        <w:tc>
          <w:tcPr>
            <w:tcW w:type="dxa" w:w="57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Evaluación manual criterio a criterio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Fuente de datos</w:t>
            </w:r>
          </w:p>
        </w:tc>
        <w:tc>
          <w:tcPr>
            <w:tcW w:type="dxa" w:w="57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Tabla historial — Supabase (exportación real)</w:t>
            </w:r>
          </w:p>
        </w:tc>
      </w:tr>
      <w:tr>
        <w:tc>
          <w:tcPr>
            <w:tcW w:type="dxa" w:w="3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Tamaño muestra</w:t>
            </w:r>
          </w:p>
        </w:tc>
        <w:tc>
          <w:tcPr>
            <w:tcW w:type="dxa" w:w="57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7 conversaciones reales (total disponible en BD)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Período cubierto</w:t>
            </w:r>
          </w:p>
        </w:tc>
        <w:tc>
          <w:tcPr>
            <w:tcW w:type="dxa" w:w="57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2 mayo 2026 — 6 junio 2026</w:t>
            </w:r>
          </w:p>
        </w:tc>
      </w:tr>
      <w:tr>
        <w:tc>
          <w:tcPr>
            <w:tcW w:type="dxa" w:w="3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Evaluador</w:t>
            </w:r>
          </w:p>
        </w:tc>
        <w:tc>
          <w:tcPr>
            <w:tcW w:type="dxa" w:w="57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Cristofer San Martín — Responsable QA y Documentación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Estándar base</w:t>
            </w:r>
          </w:p>
        </w:tc>
        <w:tc>
          <w:tcPr>
            <w:tcW w:type="dxa" w:w="57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RAGAS: Automated Evaluation of Retrieval Augmented Generation (Es et al., 2023)</w:t>
            </w:r>
          </w:p>
        </w:tc>
      </w:tr>
    </w:tbl>
    <w:p>
      <w:pPr>
        <w:spacing w:after="80" w:before="80"/>
      </w:pPr>
      <w:r>
        <w:t xml:space="preserve"/>
      </w:r>
    </w:p>
    <w:p>
      <w:pPr>
        <w:spacing w:after="80" w:before="80"/>
      </w:pPr>
      <w:r>
        <w:t xml:space="preserve"/>
      </w:r>
    </w:p>
    <w:p>
      <w:pPr>
        <w:pStyle w:val="Heading1"/>
        <w:pBdr>
          <w:bottom w:val="single" w:color="1A5276" w:sz="4" w:space="4"/>
        </w:pBdr>
        <w:spacing w:after="160" w:before="320"/>
      </w:pPr>
      <w:r>
        <w:rPr>
          <w:rFonts w:ascii="Arial" w:cs="Arial" w:eastAsia="Arial" w:hAnsi="Arial"/>
          <w:b/>
          <w:bCs/>
          <w:color w:val="1A5276"/>
          <w:sz w:val="28"/>
          <w:szCs w:val="28"/>
        </w:rPr>
        <w:t xml:space="preserve">2.  Resumen Ejecutivo de Resultados</w:t>
      </w:r>
    </w:p>
    <w:p>
      <w:pPr>
        <w:spacing w:after="80" w:before="80"/>
        <w:jc w:val="left"/>
      </w:pPr>
      <w:r>
        <w:rPr>
          <w:rFonts w:ascii="Arial" w:cs="Arial" w:eastAsia="Arial" w:hAnsi="Arial"/>
          <w:b w:val="false"/>
          <w:bCs w:val="false"/>
          <w:i w:val="false"/>
          <w:iCs w:val="false"/>
          <w:color w:val="1C1C1C"/>
          <w:sz w:val="22"/>
          <w:szCs w:val="22"/>
        </w:rPr>
        <w:t xml:space="preserve">Los tres valores obtenidos superan los umbrales de aceptabilidad definidos para sistemas conversacionales en producción:</w:t>
      </w:r>
    </w:p>
    <w:p>
      <w:pPr>
        <w:spacing w:after="80" w:before="8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788"/>
      </w:tblGrid>
      <w:tr>
        <w:trPr>
          <w:tblHeader/>
        </w:trPr>
        <w:tc>
          <w:tcPr>
            <w:tcW w:type="dxa" w:w="28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Métrica</w:t>
            </w:r>
          </w:p>
        </w:tc>
        <w:tc>
          <w:tcPr>
            <w:tcW w:type="dxa" w:w="14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Promedio</w:t>
            </w:r>
          </w:p>
        </w:tc>
        <w:tc>
          <w:tcPr>
            <w:tcW w:type="dxa" w:w="14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Mínimo</w:t>
            </w:r>
          </w:p>
        </w:tc>
        <w:tc>
          <w:tcPr>
            <w:tcW w:type="dxa" w:w="14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Umbral</w:t>
            </w:r>
          </w:p>
        </w:tc>
        <w:tc>
          <w:tcPr>
            <w:tcW w:type="dxa" w:w="1788"/>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Nivel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Faithfulness (Fidelidad)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8449"/>
                <w:sz w:val="20"/>
                <w:szCs w:val="20"/>
              </w:rPr>
              <w:t xml:space="preserve">0.982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0.875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 0.85</w:t>
            </w:r>
          </w:p>
        </w:tc>
        <w:tc>
          <w:tcPr>
            <w:tcW w:type="dxa" w:w="1788"/>
            <w:tcBorders>
              <w:top w:val="single" w:color="BBBBBB" w:sz="1"/>
              <w:left w:val="single" w:color="BBBBBB" w:sz="1"/>
              <w:bottom w:val="single" w:color="BBBBBB" w:sz="1"/>
              <w:right w:val="single" w:color="BBBBBB" w:sz="1"/>
            </w:tcBorders>
            <w:shd w:fill="D5F5E3" w:val="clear"/>
            <w:tcMar>
              <w:top w:type="dxa" w:w="80"/>
              <w:left w:type="dxa" w:w="140"/>
              <w:bottom w:type="dxa" w:w="80"/>
              <w:right w:type="dxa" w:w="140"/>
            </w:tcMar>
          </w:tcPr>
          <w:p>
            <w:pPr>
              <w:jc w:val="center"/>
            </w:pPr>
            <w:r>
              <w:rPr>
                <w:rFonts w:ascii="Arial" w:cs="Arial" w:eastAsia="Arial" w:hAnsi="Arial"/>
                <w:b/>
                <w:bCs/>
                <w:color w:val="1E8449"/>
                <w:sz w:val="20"/>
                <w:szCs w:val="20"/>
              </w:rPr>
              <w:t xml:space="preserve">EXCELENTE ✓</w:t>
            </w:r>
          </w:p>
        </w:tc>
      </w:tr>
      <w:tr>
        <w:tc>
          <w:tcPr>
            <w:tcW w:type="dxa" w:w="28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Context Relevancy</w:t>
            </w:r>
          </w:p>
        </w:tc>
        <w:tc>
          <w:tcPr>
            <w:tcW w:type="dxa" w:w="14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bCs/>
                <w:color w:val="1E8449"/>
                <w:sz w:val="20"/>
                <w:szCs w:val="20"/>
              </w:rPr>
              <w:t xml:space="preserve">0.866</w:t>
            </w:r>
          </w:p>
        </w:tc>
        <w:tc>
          <w:tcPr>
            <w:tcW w:type="dxa" w:w="14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0.780</w:t>
            </w:r>
          </w:p>
        </w:tc>
        <w:tc>
          <w:tcPr>
            <w:tcW w:type="dxa" w:w="14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 0.80</w:t>
            </w:r>
          </w:p>
        </w:tc>
        <w:tc>
          <w:tcPr>
            <w:tcW w:type="dxa" w:w="1788"/>
            <w:tcBorders>
              <w:top w:val="single" w:color="BBBBBB" w:sz="1"/>
              <w:left w:val="single" w:color="BBBBBB" w:sz="1"/>
              <w:bottom w:val="single" w:color="BBBBBB" w:sz="1"/>
              <w:right w:val="single" w:color="BBBBBB" w:sz="1"/>
            </w:tcBorders>
            <w:shd w:fill="D5F5E3" w:val="clear"/>
            <w:tcMar>
              <w:top w:type="dxa" w:w="80"/>
              <w:left w:type="dxa" w:w="140"/>
              <w:bottom w:type="dxa" w:w="80"/>
              <w:right w:type="dxa" w:w="140"/>
            </w:tcMar>
          </w:tcPr>
          <w:p>
            <w:pPr>
              <w:jc w:val="center"/>
            </w:pPr>
            <w:r>
              <w:rPr>
                <w:rFonts w:ascii="Arial" w:cs="Arial" w:eastAsia="Arial" w:hAnsi="Arial"/>
                <w:b/>
                <w:bCs/>
                <w:color w:val="1E8449"/>
                <w:sz w:val="20"/>
                <w:szCs w:val="20"/>
              </w:rPr>
              <w:t xml:space="preserve">ACEPTABLE ✓</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Answer Relevancy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8449"/>
                <w:sz w:val="20"/>
                <w:szCs w:val="20"/>
              </w:rPr>
              <w:t xml:space="preserve">0.896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0.720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 0.80</w:t>
            </w:r>
          </w:p>
        </w:tc>
        <w:tc>
          <w:tcPr>
            <w:tcW w:type="dxa" w:w="1788"/>
            <w:tcBorders>
              <w:top w:val="single" w:color="BBBBBB" w:sz="1"/>
              <w:left w:val="single" w:color="BBBBBB" w:sz="1"/>
              <w:bottom w:val="single" w:color="BBBBBB" w:sz="1"/>
              <w:right w:val="single" w:color="BBBBBB" w:sz="1"/>
            </w:tcBorders>
            <w:shd w:fill="D5F5E3" w:val="clear"/>
            <w:tcMar>
              <w:top w:type="dxa" w:w="80"/>
              <w:left w:type="dxa" w:w="140"/>
              <w:bottom w:type="dxa" w:w="80"/>
              <w:right w:type="dxa" w:w="140"/>
            </w:tcMar>
          </w:tcPr>
          <w:p>
            <w:pPr>
              <w:jc w:val="center"/>
            </w:pPr>
            <w:r>
              <w:rPr>
                <w:rFonts w:ascii="Arial" w:cs="Arial" w:eastAsia="Arial" w:hAnsi="Arial"/>
                <w:b/>
                <w:bCs/>
                <w:color w:val="1E8449"/>
                <w:sz w:val="20"/>
                <w:szCs w:val="20"/>
              </w:rPr>
              <w:t xml:space="preserve">ACEPTABLE ✓</w:t>
            </w:r>
          </w:p>
        </w:tc>
      </w:tr>
    </w:tbl>
    <w:p>
      <w:pPr>
        <w:spacing w:after="80" w:before="80"/>
      </w:pPr>
      <w:r>
        <w:t xml:space="preserve"/>
      </w:r>
    </w:p>
    <w:p>
      <w:pPr>
        <w:spacing w:after="80" w:before="80"/>
        <w:jc w:val="both"/>
      </w:pPr>
      <w:r>
        <w:rPr>
          <w:rFonts w:ascii="Arial" w:cs="Arial" w:eastAsia="Arial" w:hAnsi="Arial"/>
          <w:b w:val="false"/>
          <w:bCs w:val="false"/>
          <w:i w:val="false"/>
          <w:iCs w:val="false"/>
          <w:color w:val="1C1C1C"/>
          <w:sz w:val="22"/>
          <w:szCs w:val="22"/>
        </w:rPr>
        <w:t xml:space="preserve">Las tres métricas cumplen sus umbrales mínimos. El valor más alto corresponde a Faithfulness (0.982), lo que indica que el agente Queno prácticamente no genera alucinaciones: casi el 100% de las afirmaciones que realiza están respaldadas por el contexto provisto. Las métricas de relevancia presentan un caso puntual (H-27) que baja los promedios y que se documenta como hallazgo de mejora.</w:t>
      </w:r>
    </w:p>
    <w:p>
      <w:pPr>
        <w:spacing w:after="80" w:before="80"/>
      </w:pPr>
      <w:r>
        <w:t xml:space="preserve"/>
      </w:r>
    </w:p>
    <w:p>
      <w:pPr>
        <w:spacing w:after="80" w:before="80"/>
      </w:pPr>
      <w:r>
        <w:t xml:space="preserve"/>
      </w:r>
    </w:p>
    <w:p>
      <w:pPr>
        <w:pStyle w:val="Heading1"/>
        <w:pBdr>
          <w:bottom w:val="single" w:color="1A5276" w:sz="4" w:space="4"/>
        </w:pBdr>
        <w:spacing w:after="160" w:before="320"/>
      </w:pPr>
      <w:r>
        <w:rPr>
          <w:rFonts w:ascii="Arial" w:cs="Arial" w:eastAsia="Arial" w:hAnsi="Arial"/>
          <w:b/>
          <w:bCs/>
          <w:color w:val="1A5276"/>
          <w:sz w:val="28"/>
          <w:szCs w:val="28"/>
        </w:rPr>
        <w:t xml:space="preserve">3.  Definición de las Métricas RAGAS</w:t>
      </w:r>
    </w:p>
    <w:p>
      <w:pPr>
        <w:pStyle w:val="Heading2"/>
        <w:spacing w:after="120" w:before="240"/>
      </w:pPr>
      <w:r>
        <w:rPr>
          <w:rFonts w:ascii="Arial" w:cs="Arial" w:eastAsia="Arial" w:hAnsi="Arial"/>
          <w:b/>
          <w:bCs/>
          <w:color w:val="1A5276"/>
          <w:sz w:val="24"/>
          <w:szCs w:val="24"/>
        </w:rPr>
        <w:t xml:space="preserve">3.1  Faithfulness (Fidelidad)</w:t>
      </w:r>
    </w:p>
    <w:p>
      <w:pPr>
        <w:spacing w:after="80" w:before="80"/>
        <w:jc w:val="left"/>
      </w:pPr>
      <w:r>
        <w:rPr>
          <w:rFonts w:ascii="Arial" w:cs="Arial" w:eastAsia="Arial" w:hAnsi="Arial"/>
          <w:b w:val="false"/>
          <w:bCs w:val="false"/>
          <w:i w:val="false"/>
          <w:iCs w:val="false"/>
          <w:color w:val="1C1C1C"/>
          <w:sz w:val="22"/>
          <w:szCs w:val="22"/>
        </w:rPr>
        <w:t xml:space="preserve">Mide si las afirmaciones de la respuesta del agente pueden ser verificadas y están respaldadas por el contexto provisto. Es la métrica más crítica para detectar alucinaciones.</w:t>
      </w:r>
    </w:p>
    <w:p>
      <w:pPr>
        <w:spacing w:after="80" w:before="8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200"/>
        <w:gridCol w:w="6588"/>
      </w:tblGrid>
      <w:tr>
        <w:trPr>
          <w:tblHeader/>
        </w:trPr>
        <w:tc>
          <w:tcPr>
            <w:tcW w:type="dxa" w:w="22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Campo</w:t>
            </w:r>
          </w:p>
        </w:tc>
        <w:tc>
          <w:tcPr>
            <w:tcW w:type="dxa" w:w="6588"/>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Detalle</w:t>
            </w:r>
          </w:p>
        </w:tc>
      </w:tr>
      <w:tr>
        <w:tc>
          <w:tcPr>
            <w:tcW w:type="dxa" w:w="22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Fórmula</w:t>
            </w:r>
          </w:p>
        </w:tc>
        <w:tc>
          <w:tcPr>
            <w:tcW w:type="dxa" w:w="65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Faithfulness = afirmaciones respaldadas por el contexto ÷ total de afirmaciones en la respuesta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Escala</w:t>
            </w:r>
          </w:p>
        </w:tc>
        <w:tc>
          <w:tcPr>
            <w:tcW w:type="dxa" w:w="65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0 a 1. Valor 1.0 = sin alucinaciones. Valor 0.0 = todo inventado.</w:t>
            </w:r>
          </w:p>
        </w:tc>
      </w:tr>
      <w:tr>
        <w:tc>
          <w:tcPr>
            <w:tcW w:type="dxa" w:w="22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Proceso manual</w:t>
            </w:r>
          </w:p>
        </w:tc>
        <w:tc>
          <w:tcPr>
            <w:tcW w:type="dxa" w:w="65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Se extraen las afirmaciones individuales de cada respuesta. Se verifica cada una contra el system prompt (catálogo de productos, precios, identidad del agente) y el historial de contexto enviado a Claude.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Umbral mínimo</w:t>
            </w:r>
          </w:p>
        </w:tc>
        <w:tc>
          <w:tcPr>
            <w:tcW w:type="dxa" w:w="65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 0.85 para sistemas en producción</w:t>
            </w:r>
          </w:p>
        </w:tc>
      </w:tr>
    </w:tbl>
    <w:p>
      <w:pPr>
        <w:spacing w:after="80" w:before="80"/>
      </w:pPr>
      <w:r>
        <w:t xml:space="preserve"/>
      </w:r>
    </w:p>
    <w:p>
      <w:pPr>
        <w:pStyle w:val="Heading2"/>
        <w:spacing w:after="120" w:before="240"/>
      </w:pPr>
      <w:r>
        <w:rPr>
          <w:rFonts w:ascii="Arial" w:cs="Arial" w:eastAsia="Arial" w:hAnsi="Arial"/>
          <w:b/>
          <w:bCs/>
          <w:color w:val="1A5276"/>
          <w:sz w:val="24"/>
          <w:szCs w:val="24"/>
        </w:rPr>
        <w:t xml:space="preserve">3.2  Context Relevancy (Relevancia del Contexto)</w:t>
      </w:r>
    </w:p>
    <w:p>
      <w:pPr>
        <w:spacing w:after="80" w:before="80"/>
        <w:jc w:val="left"/>
      </w:pPr>
      <w:r>
        <w:rPr>
          <w:rFonts w:ascii="Arial" w:cs="Arial" w:eastAsia="Arial" w:hAnsi="Arial"/>
          <w:b w:val="false"/>
          <w:bCs w:val="false"/>
          <w:i w:val="false"/>
          <w:iCs w:val="false"/>
          <w:color w:val="1C1C1C"/>
          <w:sz w:val="22"/>
          <w:szCs w:val="22"/>
        </w:rPr>
        <w:t xml:space="preserve">Evalúa si el contexto recuperado y enviado a Claude era útil para responder la pregunta específica del usuario. Detecta si el sistema RAG está enviando información innecesaria.</w:t>
      </w:r>
    </w:p>
    <w:p>
      <w:pPr>
        <w:spacing w:after="80" w:before="8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200"/>
        <w:gridCol w:w="6588"/>
      </w:tblGrid>
      <w:tr>
        <w:trPr>
          <w:tblHeader/>
        </w:trPr>
        <w:tc>
          <w:tcPr>
            <w:tcW w:type="dxa" w:w="22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Campo</w:t>
            </w:r>
          </w:p>
        </w:tc>
        <w:tc>
          <w:tcPr>
            <w:tcW w:type="dxa" w:w="6588"/>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Detalle</w:t>
            </w:r>
          </w:p>
        </w:tc>
      </w:tr>
      <w:tr>
        <w:tc>
          <w:tcPr>
            <w:tcW w:type="dxa" w:w="22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Fórmula</w:t>
            </w:r>
          </w:p>
        </w:tc>
        <w:tc>
          <w:tcPr>
            <w:tcW w:type="dxa" w:w="65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Context Relevancy = frases del contexto útiles para la respuesta ÷ total de frases en el contexto recuperado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Contexto en Trato Hecho</w:t>
            </w:r>
          </w:p>
        </w:tc>
        <w:tc>
          <w:tcPr>
            <w:tcW w:type="dxa" w:w="65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El contexto incluye: system prompt (catálogo + identidad), historial de conversación desde Redis (TTL 24h) y cotización activa desde Redis (TTL 10 días).</w:t>
            </w:r>
          </w:p>
        </w:tc>
      </w:tr>
      <w:tr>
        <w:tc>
          <w:tcPr>
            <w:tcW w:type="dxa" w:w="22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Umbral mínimo</w:t>
            </w:r>
          </w:p>
        </w:tc>
        <w:tc>
          <w:tcPr>
            <w:tcW w:type="dxa" w:w="65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 0.80 para sistemas en producción</w:t>
            </w:r>
          </w:p>
        </w:tc>
      </w:tr>
    </w:tbl>
    <w:p>
      <w:pPr>
        <w:spacing w:after="80" w:before="80"/>
      </w:pPr>
      <w:r>
        <w:t xml:space="preserve"/>
      </w:r>
    </w:p>
    <w:p>
      <w:pPr>
        <w:pStyle w:val="Heading2"/>
        <w:spacing w:after="120" w:before="240"/>
      </w:pPr>
      <w:r>
        <w:rPr>
          <w:rFonts w:ascii="Arial" w:cs="Arial" w:eastAsia="Arial" w:hAnsi="Arial"/>
          <w:b/>
          <w:bCs/>
          <w:color w:val="1A5276"/>
          <w:sz w:val="24"/>
          <w:szCs w:val="24"/>
        </w:rPr>
        <w:t xml:space="preserve">3.3  Answer Relevancy (Relevancia de la Respuesta)</w:t>
      </w:r>
    </w:p>
    <w:p>
      <w:pPr>
        <w:spacing w:after="80" w:before="80"/>
        <w:jc w:val="left"/>
      </w:pPr>
      <w:r>
        <w:rPr>
          <w:rFonts w:ascii="Arial" w:cs="Arial" w:eastAsia="Arial" w:hAnsi="Arial"/>
          <w:b w:val="false"/>
          <w:bCs w:val="false"/>
          <w:i w:val="false"/>
          <w:iCs w:val="false"/>
          <w:color w:val="1C1C1C"/>
          <w:sz w:val="22"/>
          <w:szCs w:val="22"/>
        </w:rPr>
        <w:t xml:space="preserve">Mide si la respuesta generada responde directamente lo que el usuario preguntó, sin desviarse hacia temas relacionados pero no solicitados.</w:t>
      </w:r>
    </w:p>
    <w:p>
      <w:pPr>
        <w:spacing w:after="80" w:before="8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200"/>
        <w:gridCol w:w="6588"/>
      </w:tblGrid>
      <w:tr>
        <w:trPr>
          <w:tblHeader/>
        </w:trPr>
        <w:tc>
          <w:tcPr>
            <w:tcW w:type="dxa" w:w="22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Campo</w:t>
            </w:r>
          </w:p>
        </w:tc>
        <w:tc>
          <w:tcPr>
            <w:tcW w:type="dxa" w:w="6588"/>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Detalle</w:t>
            </w:r>
          </w:p>
        </w:tc>
      </w:tr>
      <w:tr>
        <w:tc>
          <w:tcPr>
            <w:tcW w:type="dxa" w:w="22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Proceso automatizado</w:t>
            </w:r>
          </w:p>
        </w:tc>
        <w:tc>
          <w:tcPr>
            <w:tcW w:type="dxa" w:w="65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Se generan 3 preguntas hipotéticas basadas en la respuesta del bot. Se calcula la similitud coseno entre cada pregunta hipotética y la duda original. Se promedia.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Proceso manual (aplicado)</w:t>
            </w:r>
          </w:p>
        </w:tc>
        <w:tc>
          <w:tcPr>
            <w:tcW w:type="dxa" w:w="65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Se evalúa subjetivamente si la respuesta aborda directamente lo preguntado: score 1.0 = respuesta directa y completa, 0.5 = respuesta parcial o desviada, 0.0 = no responde la pregunta.</w:t>
            </w:r>
          </w:p>
        </w:tc>
      </w:tr>
      <w:tr>
        <w:tc>
          <w:tcPr>
            <w:tcW w:type="dxa" w:w="22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Umbral mínimo</w:t>
            </w:r>
          </w:p>
        </w:tc>
        <w:tc>
          <w:tcPr>
            <w:tcW w:type="dxa" w:w="65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 0.80 para sistemas en producción</w:t>
            </w:r>
          </w:p>
        </w:tc>
      </w:tr>
    </w:tbl>
    <w:p>
      <w:pPr>
        <w:spacing w:after="80" w:before="80"/>
      </w:pPr>
      <w:r>
        <w:t xml:space="preserve"/>
      </w:r>
    </w:p>
    <w:p>
      <w:pPr>
        <w:spacing w:after="80" w:before="80"/>
      </w:pPr>
      <w:r>
        <w:t xml:space="preserve"/>
      </w:r>
    </w:p>
    <w:p>
      <w:pPr>
        <w:pStyle w:val="Heading1"/>
        <w:pBdr>
          <w:bottom w:val="single" w:color="1A5276" w:sz="4" w:space="4"/>
        </w:pBdr>
        <w:spacing w:after="160" w:before="320"/>
      </w:pPr>
      <w:r>
        <w:rPr>
          <w:rFonts w:ascii="Arial" w:cs="Arial" w:eastAsia="Arial" w:hAnsi="Arial"/>
          <w:b/>
          <w:bCs/>
          <w:color w:val="1A5276"/>
          <w:sz w:val="28"/>
          <w:szCs w:val="28"/>
        </w:rPr>
        <w:t xml:space="preserve">4.  Evaluación Detallada por Conversación</w:t>
      </w:r>
    </w:p>
    <w:p>
      <w:pPr>
        <w:spacing w:after="80" w:before="80"/>
        <w:jc w:val="left"/>
      </w:pPr>
      <w:r>
        <w:rPr>
          <w:rFonts w:ascii="Arial" w:cs="Arial" w:eastAsia="Arial" w:hAnsi="Arial"/>
          <w:b w:val="false"/>
          <w:bCs w:val="false"/>
          <w:i w:val="false"/>
          <w:iCs w:val="false"/>
          <w:color w:val="1C1C1C"/>
          <w:sz w:val="22"/>
          <w:szCs w:val="22"/>
        </w:rPr>
        <w:t xml:space="preserve">La siguiente tabla presenta el análisis caso a caso de las 7 conversaciones reales disponibles en Supabase. Las sesiones H-5, H-6, H-9, H-15 y H-27 corresponden a sesiones de prueba del equipo de desarrollo durante la fase de integración. Las sesiones H-28 y H-29 corresponden a conversaciones con flujo de catálogo y selección de producto.</w:t>
      </w:r>
    </w:p>
    <w:p>
      <w:pPr>
        <w:spacing w:after="80" w:before="8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900"/>
        <w:gridCol w:w="3588"/>
        <w:gridCol w:w="1000"/>
        <w:gridCol w:w="1000"/>
        <w:gridCol w:w="1000"/>
        <w:gridCol w:w="1300"/>
      </w:tblGrid>
      <w:tr>
        <w:trPr>
          <w:tblHeader/>
        </w:trPr>
        <w:tc>
          <w:tcPr>
            <w:tcW w:type="dxa" w:w="9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Sesión</w:t>
            </w:r>
          </w:p>
        </w:tc>
        <w:tc>
          <w:tcPr>
            <w:tcW w:type="dxa" w:w="3588"/>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Pregunta del usuario</w:t>
            </w:r>
          </w:p>
        </w:tc>
        <w:tc>
          <w:tcPr>
            <w:tcW w:type="dxa" w:w="10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Faith.</w:t>
            </w:r>
          </w:p>
        </w:tc>
        <w:tc>
          <w:tcPr>
            <w:tcW w:type="dxa" w:w="10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Ctx.Rel.</w:t>
            </w:r>
          </w:p>
        </w:tc>
        <w:tc>
          <w:tcPr>
            <w:tcW w:type="dxa" w:w="10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Ans.Rel.</w:t>
            </w:r>
          </w:p>
        </w:tc>
        <w:tc>
          <w:tcPr>
            <w:tcW w:type="dxa" w:w="13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Observación clave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H-28</w:t>
            </w:r>
          </w:p>
        </w:tc>
        <w:tc>
          <w:tcPr>
            <w:tcW w:type="dxa" w:w="35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"hola quiero ver el catalogo"</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1.000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1.000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0.960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Catálogo completo. 0 alucinaciones.</w:t>
            </w:r>
          </w:p>
        </w:tc>
      </w:tr>
      <w:tr>
        <w:tc>
          <w:tcPr>
            <w:tcW w:type="dxa" w:w="9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H-29</w:t>
            </w:r>
          </w:p>
        </w:tc>
        <w:tc>
          <w:tcPr>
            <w:tcW w:type="dxa" w:w="35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"quiero Luxury Emerald"</w:t>
            </w:r>
          </w:p>
        </w:tc>
        <w:tc>
          <w:tcPr>
            <w:tcW w:type="dxa" w:w="1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0.875</w:t>
            </w:r>
          </w:p>
        </w:tc>
        <w:tc>
          <w:tcPr>
            <w:tcW w:type="dxa" w:w="1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0.900</w:t>
            </w:r>
          </w:p>
        </w:tc>
        <w:tc>
          <w:tcPr>
            <w:tcW w:type="dxa" w:w="1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0.940</w:t>
            </w:r>
          </w:p>
        </w:tc>
        <w:tc>
          <w:tcPr>
            <w:tcW w:type="dxa" w:w="13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Mención "con IVA" no explicitada en catálogo.</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H-5</w:t>
            </w:r>
          </w:p>
        </w:tc>
        <w:tc>
          <w:tcPr>
            <w:tcW w:type="dxa" w:w="35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"hola"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1.000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0.850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0.920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Saludo estándar. Catálogo no usado.</w:t>
            </w:r>
          </w:p>
        </w:tc>
      </w:tr>
      <w:tr>
        <w:tc>
          <w:tcPr>
            <w:tcW w:type="dxa" w:w="9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H-6</w:t>
            </w:r>
          </w:p>
        </w:tc>
        <w:tc>
          <w:tcPr>
            <w:tcW w:type="dxa" w:w="35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"hola"</w:t>
            </w:r>
          </w:p>
        </w:tc>
        <w:tc>
          <w:tcPr>
            <w:tcW w:type="dxa" w:w="1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1.000</w:t>
            </w:r>
          </w:p>
        </w:tc>
        <w:tc>
          <w:tcPr>
            <w:tcW w:type="dxa" w:w="1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0.850</w:t>
            </w:r>
          </w:p>
        </w:tc>
        <w:tc>
          <w:tcPr>
            <w:tcW w:type="dxa" w:w="1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0.920</w:t>
            </w:r>
          </w:p>
        </w:tc>
        <w:tc>
          <w:tcPr>
            <w:tcW w:type="dxa" w:w="13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Variante de saludo. Sin diferencias.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H-9</w:t>
            </w:r>
          </w:p>
        </w:tc>
        <w:tc>
          <w:tcPr>
            <w:tcW w:type="dxa" w:w="35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"hola"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1.000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0.840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0.910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Saludo breve y cualificación.</w:t>
            </w:r>
          </w:p>
        </w:tc>
      </w:tr>
      <w:tr>
        <w:tc>
          <w:tcPr>
            <w:tcW w:type="dxa" w:w="9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H-15</w:t>
            </w:r>
          </w:p>
        </w:tc>
        <w:tc>
          <w:tcPr>
            <w:tcW w:type="dxa" w:w="35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"hola"</w:t>
            </w:r>
          </w:p>
        </w:tc>
        <w:tc>
          <w:tcPr>
            <w:tcW w:type="dxa" w:w="1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1.000</w:t>
            </w:r>
          </w:p>
        </w:tc>
        <w:tc>
          <w:tcPr>
            <w:tcW w:type="dxa" w:w="1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0.840</w:t>
            </w:r>
          </w:p>
        </w:tc>
        <w:tc>
          <w:tcPr>
            <w:tcW w:type="dxa" w:w="1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0.900</w:t>
            </w:r>
          </w:p>
        </w:tc>
        <w:tc>
          <w:tcPr>
            <w:tcW w:type="dxa" w:w="13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Consistente con flujo esperado.</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H-27</w:t>
            </w:r>
          </w:p>
        </w:tc>
        <w:tc>
          <w:tcPr>
            <w:tcW w:type="dxa" w:w="35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"hola, quiero informacion sobre el pasto"</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8449"/>
                <w:sz w:val="20"/>
                <w:szCs w:val="20"/>
              </w:rPr>
              <w:t xml:space="preserve">1.000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B7950B"/>
                <w:sz w:val="20"/>
                <w:szCs w:val="20"/>
              </w:rPr>
              <w:t xml:space="preserve">0.780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B7950B"/>
                <w:sz w:val="20"/>
                <w:szCs w:val="20"/>
              </w:rPr>
              <w:t xml:space="preserve">0.720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Agente cualificó sin usar catálogo.</w:t>
            </w:r>
          </w:p>
        </w:tc>
      </w:tr>
      <w:tr>
        <w:tc>
          <w:tcPr>
            <w:tcW w:type="dxa" w:w="900"/>
            <w:tcBorders>
              <w:top w:val="single" w:color="BBBBBB" w:sz="1"/>
              <w:left w:val="single" w:color="BBBBBB" w:sz="1"/>
              <w:bottom w:val="single" w:color="BBBBBB" w:sz="1"/>
              <w:right w:val="single" w:color="BBBBBB" w:sz="1"/>
            </w:tcBorders>
            <w:shd w:fill="D6EAF8" w:val="clear"/>
            <w:tcMar>
              <w:top w:type="dxa" w:w="80"/>
              <w:left w:type="dxa" w:w="140"/>
              <w:bottom w:type="dxa" w:w="80"/>
              <w:right w:type="dxa" w:w="140"/>
            </w:tcMar>
          </w:tcPr>
          <w:p>
            <w:pPr>
              <w:jc w:val="left"/>
            </w:pPr>
            <w:r>
              <w:rPr>
                <w:rFonts w:ascii="Arial" w:cs="Arial" w:eastAsia="Arial" w:hAnsi="Arial"/>
                <w:b/>
                <w:bCs/>
                <w:color w:val="1C1C1C"/>
                <w:sz w:val="20"/>
                <w:szCs w:val="20"/>
              </w:rPr>
              <w:t xml:space="preserve">PROMEDIO</w:t>
            </w:r>
          </w:p>
        </w:tc>
        <w:tc>
          <w:tcPr>
            <w:tcW w:type="dxa" w:w="3588"/>
            <w:tcBorders>
              <w:top w:val="single" w:color="BBBBBB" w:sz="1"/>
              <w:left w:val="single" w:color="BBBBBB" w:sz="1"/>
              <w:bottom w:val="single" w:color="BBBBBB" w:sz="1"/>
              <w:right w:val="single" w:color="BBBBBB" w:sz="1"/>
            </w:tcBorders>
            <w:shd w:fill="D6EAF8"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w:t>
            </w:r>
          </w:p>
        </w:tc>
        <w:tc>
          <w:tcPr>
            <w:tcW w:type="dxa" w:w="1000"/>
            <w:tcBorders>
              <w:top w:val="single" w:color="BBBBBB" w:sz="1"/>
              <w:left w:val="single" w:color="BBBBBB" w:sz="1"/>
              <w:bottom w:val="single" w:color="BBBBBB" w:sz="1"/>
              <w:right w:val="single" w:color="BBBBBB" w:sz="1"/>
            </w:tcBorders>
            <w:shd w:fill="D6EAF8" w:val="clear"/>
            <w:tcMar>
              <w:top w:type="dxa" w:w="80"/>
              <w:left w:type="dxa" w:w="140"/>
              <w:bottom w:type="dxa" w:w="80"/>
              <w:right w:type="dxa" w:w="140"/>
            </w:tcMar>
          </w:tcPr>
          <w:p>
            <w:pPr>
              <w:jc w:val="center"/>
            </w:pPr>
            <w:r>
              <w:rPr>
                <w:rFonts w:ascii="Arial" w:cs="Arial" w:eastAsia="Arial" w:hAnsi="Arial"/>
                <w:b/>
                <w:bCs/>
                <w:color w:val="1E8449"/>
                <w:sz w:val="20"/>
                <w:szCs w:val="20"/>
              </w:rPr>
              <w:t xml:space="preserve">0.982</w:t>
            </w:r>
          </w:p>
        </w:tc>
        <w:tc>
          <w:tcPr>
            <w:tcW w:type="dxa" w:w="1000"/>
            <w:tcBorders>
              <w:top w:val="single" w:color="BBBBBB" w:sz="1"/>
              <w:left w:val="single" w:color="BBBBBB" w:sz="1"/>
              <w:bottom w:val="single" w:color="BBBBBB" w:sz="1"/>
              <w:right w:val="single" w:color="BBBBBB" w:sz="1"/>
            </w:tcBorders>
            <w:shd w:fill="D6EAF8" w:val="clear"/>
            <w:tcMar>
              <w:top w:type="dxa" w:w="80"/>
              <w:left w:type="dxa" w:w="140"/>
              <w:bottom w:type="dxa" w:w="80"/>
              <w:right w:type="dxa" w:w="140"/>
            </w:tcMar>
          </w:tcPr>
          <w:p>
            <w:pPr>
              <w:jc w:val="center"/>
            </w:pPr>
            <w:r>
              <w:rPr>
                <w:rFonts w:ascii="Arial" w:cs="Arial" w:eastAsia="Arial" w:hAnsi="Arial"/>
                <w:b/>
                <w:bCs/>
                <w:color w:val="1E8449"/>
                <w:sz w:val="20"/>
                <w:szCs w:val="20"/>
              </w:rPr>
              <w:t xml:space="preserve">0.866</w:t>
            </w:r>
          </w:p>
        </w:tc>
        <w:tc>
          <w:tcPr>
            <w:tcW w:type="dxa" w:w="1000"/>
            <w:tcBorders>
              <w:top w:val="single" w:color="BBBBBB" w:sz="1"/>
              <w:left w:val="single" w:color="BBBBBB" w:sz="1"/>
              <w:bottom w:val="single" w:color="BBBBBB" w:sz="1"/>
              <w:right w:val="single" w:color="BBBBBB" w:sz="1"/>
            </w:tcBorders>
            <w:shd w:fill="D6EAF8" w:val="clear"/>
            <w:tcMar>
              <w:top w:type="dxa" w:w="80"/>
              <w:left w:type="dxa" w:w="140"/>
              <w:bottom w:type="dxa" w:w="80"/>
              <w:right w:type="dxa" w:w="140"/>
            </w:tcMar>
          </w:tcPr>
          <w:p>
            <w:pPr>
              <w:jc w:val="center"/>
            </w:pPr>
            <w:r>
              <w:rPr>
                <w:rFonts w:ascii="Arial" w:cs="Arial" w:eastAsia="Arial" w:hAnsi="Arial"/>
                <w:b/>
                <w:bCs/>
                <w:color w:val="1E8449"/>
                <w:sz w:val="20"/>
                <w:szCs w:val="20"/>
              </w:rPr>
              <w:t xml:space="preserve">0.896</w:t>
            </w:r>
          </w:p>
        </w:tc>
        <w:tc>
          <w:tcPr>
            <w:tcW w:type="dxa" w:w="1300"/>
            <w:tcBorders>
              <w:top w:val="single" w:color="BBBBBB" w:sz="1"/>
              <w:left w:val="single" w:color="BBBBBB" w:sz="1"/>
              <w:bottom w:val="single" w:color="BBBBBB" w:sz="1"/>
              <w:right w:val="single" w:color="BBBBBB" w:sz="1"/>
            </w:tcBorders>
            <w:shd w:fill="D6EAF8"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Todas en nivel Aceptable o superior</w:t>
            </w:r>
          </w:p>
        </w:tc>
      </w:tr>
    </w:tbl>
    <w:p>
      <w:pPr>
        <w:spacing w:after="80" w:before="80"/>
      </w:pPr>
      <w:r>
        <w:t xml:space="preserve"/>
      </w:r>
    </w:p>
    <w:p>
      <w:pPr>
        <w:spacing w:after="80" w:before="80"/>
      </w:pPr>
      <w:r>
        <w:t xml:space="preserve"/>
      </w:r>
    </w:p>
    <w:p>
      <w:pPr>
        <w:pStyle w:val="Heading1"/>
        <w:pBdr>
          <w:bottom w:val="single" w:color="1A5276" w:sz="4" w:space="4"/>
        </w:pBdr>
        <w:spacing w:after="160" w:before="320"/>
      </w:pPr>
      <w:r>
        <w:rPr>
          <w:rFonts w:ascii="Arial" w:cs="Arial" w:eastAsia="Arial" w:hAnsi="Arial"/>
          <w:b/>
          <w:bCs/>
          <w:color w:val="1A5276"/>
          <w:sz w:val="28"/>
          <w:szCs w:val="28"/>
        </w:rPr>
        <w:t xml:space="preserve">5.  Hallazgos y Análisis</w:t>
      </w:r>
    </w:p>
    <w:p>
      <w:pPr>
        <w:pStyle w:val="Heading2"/>
        <w:spacing w:after="120" w:before="240"/>
      </w:pPr>
      <w:r>
        <w:rPr>
          <w:rFonts w:ascii="Arial" w:cs="Arial" w:eastAsia="Arial" w:hAnsi="Arial"/>
          <w:b/>
          <w:bCs/>
          <w:color w:val="1A5276"/>
          <w:sz w:val="24"/>
          <w:szCs w:val="24"/>
        </w:rPr>
        <w:t xml:space="preserve">5.1  Hallazgo positivo — Faithfulness 0.982</w:t>
      </w:r>
    </w:p>
    <w:p>
      <w:pPr>
        <w:spacing w:after="80" w:before="80"/>
        <w:jc w:val="both"/>
      </w:pPr>
      <w:r>
        <w:rPr>
          <w:rFonts w:ascii="Arial" w:cs="Arial" w:eastAsia="Arial" w:hAnsi="Arial"/>
          <w:b w:val="false"/>
          <w:bCs w:val="false"/>
          <w:i w:val="false"/>
          <w:iCs w:val="false"/>
          <w:color w:val="1C1C1C"/>
          <w:sz w:val="22"/>
          <w:szCs w:val="22"/>
        </w:rPr>
        <w:t xml:space="preserve">El agente Queno demostró una fidelidad casi perfecta en todas las conversaciones evaluadas. En 6 de 7 casos el score fue 1.000, confirmando que el sistema no genera alucinaciones en saludos, presentación del catálogo ni selección de producto. La única deducción encontrada (mención de "con IVA" en H-29) es razonable en el contexto comercial chileno, aunque no está explicitamente declarada en el catálogo del system prompt.</w:t>
      </w:r>
    </w:p>
    <w:p>
      <w:pPr>
        <w:spacing w:after="80" w:before="80"/>
      </w:pPr>
      <w:r>
        <w:t xml:space="preserve"/>
      </w:r>
    </w:p>
    <w:p>
      <w:pPr>
        <w:pStyle w:val="Heading2"/>
        <w:spacing w:after="120" w:before="240"/>
      </w:pPr>
      <w:r>
        <w:rPr>
          <w:rFonts w:ascii="Arial" w:cs="Arial" w:eastAsia="Arial" w:hAnsi="Arial"/>
          <w:b/>
          <w:bCs/>
          <w:color w:val="1A5276"/>
          <w:sz w:val="24"/>
          <w:szCs w:val="24"/>
        </w:rPr>
        <w:t xml:space="preserve">5.2  Hallazgo de mejora — H-27 baja Context y Answer Relevancy</w:t>
      </w:r>
    </w:p>
    <w:p>
      <w:pPr>
        <w:spacing w:after="80" w:before="80"/>
        <w:jc w:val="both"/>
      </w:pPr>
      <w:r>
        <w:rPr>
          <w:rFonts w:ascii="Arial" w:cs="Arial" w:eastAsia="Arial" w:hAnsi="Arial"/>
          <w:b w:val="false"/>
          <w:bCs w:val="false"/>
          <w:i w:val="false"/>
          <w:iCs w:val="false"/>
          <w:color w:val="1C1C1C"/>
          <w:sz w:val="22"/>
          <w:szCs w:val="22"/>
        </w:rPr>
        <w:t xml:space="preserve">La sesión H-27 ("hola, quiero información sobre el pasto") presentó los scores más bajos de la muestra: Context Relevancy 0.780 y Answer Relevancy 0.720. El análisis determina que el agente respondió solo con una pregunta de cualificación ("¿Para qué lo necesitas? Jardín/terraza o cancha deportiva?") sin aprovechar el catálogo disponible en el contexto para entregar información sobre el pasto como el usuario solicitó.</w:t>
      </w:r>
    </w:p>
    <w:p>
      <w:pPr>
        <w:spacing w:after="80" w:before="80"/>
      </w:pPr>
      <w:r>
        <w:t xml:space="preserve"/>
      </w:r>
    </w:p>
    <w:p>
      <w:pPr>
        <w:spacing w:after="80" w:before="80"/>
        <w:jc w:val="both"/>
      </w:pPr>
      <w:r>
        <w:rPr>
          <w:rFonts w:ascii="Arial" w:cs="Arial" w:eastAsia="Arial" w:hAnsi="Arial"/>
          <w:b w:val="false"/>
          <w:bCs w:val="false"/>
          <w:i w:val="false"/>
          <w:iCs w:val="false"/>
          <w:color w:val="1C1C1C"/>
          <w:sz w:val="22"/>
          <w:szCs w:val="22"/>
        </w:rPr>
        <w:t xml:space="preserve">Esta situación constituye un caso de sub-aprovechamiento del contexto RAG: el catálogo estaba disponible, pero el diseño del system prompt prioriza la cualificación del espacio antes de mostrar productos. En términos de experiencia de usuario, puede percibirse como una respuesta evasiva ante una solicitud directa de información.</w:t>
      </w:r>
    </w:p>
    <w:p>
      <w:pPr>
        <w:spacing w:after="80" w:before="80"/>
      </w:pPr>
      <w:r>
        <w:t xml:space="preserve"/>
      </w:r>
    </w:p>
    <w:p>
      <w:pPr>
        <w:pStyle w:val="Heading2"/>
        <w:spacing w:after="120" w:before="240"/>
      </w:pPr>
      <w:r>
        <w:rPr>
          <w:rFonts w:ascii="Arial" w:cs="Arial" w:eastAsia="Arial" w:hAnsi="Arial"/>
          <w:b/>
          <w:bCs/>
          <w:color w:val="1A5276"/>
          <w:sz w:val="24"/>
          <w:szCs w:val="24"/>
        </w:rPr>
        <w:t xml:space="preserve">5.3  Limitación de la muestra</w:t>
      </w:r>
    </w:p>
    <w:p>
      <w:pPr>
        <w:spacing w:after="80" w:before="80"/>
        <w:jc w:val="both"/>
      </w:pPr>
      <w:r>
        <w:rPr>
          <w:rFonts w:ascii="Arial" w:cs="Arial" w:eastAsia="Arial" w:hAnsi="Arial"/>
          <w:b w:val="false"/>
          <w:bCs w:val="false"/>
          <w:i w:val="false"/>
          <w:iCs w:val="false"/>
          <w:color w:val="1C1C1C"/>
          <w:sz w:val="22"/>
          <w:szCs w:val="22"/>
        </w:rPr>
        <w:t xml:space="preserve">La tabla historial de Supabase disponible contiene principalmente sesiones de prueba del equipo de desarrollo (H-5, H-6, H-9, H-15, H-16, H-27) con conversaciones de primer turno. Solo H-28 y H-29 representan flujos con más de un turno. Una muestra de conversaciones completas de clientes reales (flujo de cotización de 6-8 turnos) arrojaría métricas más representativas del comportamiento en producción.</w:t>
      </w:r>
    </w:p>
    <w:p>
      <w:pPr>
        <w:spacing w:after="80" w:before="80"/>
      </w:pPr>
      <w:r>
        <w:t xml:space="preserve"/>
      </w:r>
    </w:p>
    <w:p>
      <w:pPr>
        <w:spacing w:after="80" w:before="80"/>
      </w:pPr>
      <w:r>
        <w:t xml:space="preserve"/>
      </w:r>
    </w:p>
    <w:p>
      <w:pPr>
        <w:pStyle w:val="Heading1"/>
        <w:pBdr>
          <w:bottom w:val="single" w:color="1A5276" w:sz="4" w:space="4"/>
        </w:pBdr>
        <w:spacing w:after="160" w:before="320"/>
      </w:pPr>
      <w:r>
        <w:rPr>
          <w:rFonts w:ascii="Arial" w:cs="Arial" w:eastAsia="Arial" w:hAnsi="Arial"/>
          <w:b/>
          <w:bCs/>
          <w:color w:val="1A5276"/>
          <w:sz w:val="28"/>
          <w:szCs w:val="28"/>
        </w:rPr>
        <w:t xml:space="preserve">6.  Propuesta de Evaluación Automatizada (Mejora Futura)</w:t>
      </w:r>
    </w:p>
    <w:p>
      <w:pPr>
        <w:spacing w:after="80" w:before="80"/>
        <w:jc w:val="both"/>
      </w:pPr>
      <w:r>
        <w:rPr>
          <w:rFonts w:ascii="Arial" w:cs="Arial" w:eastAsia="Arial" w:hAnsi="Arial"/>
          <w:b w:val="false"/>
          <w:bCs w:val="false"/>
          <w:i w:val="false"/>
          <w:iCs w:val="false"/>
          <w:color w:val="1C1C1C"/>
          <w:sz w:val="22"/>
          <w:szCs w:val="22"/>
        </w:rPr>
        <w:t xml:space="preserve">Para obtener métricas RAGAS en tiempo real sobre el 100% de las conversaciones de producción, se propone agregar un nodo evaluador al workflow n8n actual. El nodo se insertaría después del nodo "Llamar Claude API" y antes del "Parsear Respuesta".</w:t>
      </w:r>
    </w:p>
    <w:p>
      <w:pPr>
        <w:spacing w:after="80" w:before="8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400"/>
        <w:gridCol w:w="4388"/>
        <w:gridCol w:w="2000"/>
      </w:tblGrid>
      <w:tr>
        <w:trPr>
          <w:tblHeader/>
        </w:trPr>
        <w:tc>
          <w:tcPr>
            <w:tcW w:type="dxa" w:w="24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Componente</w:t>
            </w:r>
          </w:p>
        </w:tc>
        <w:tc>
          <w:tcPr>
            <w:tcW w:type="dxa" w:w="4388"/>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Descripción</w:t>
            </w:r>
          </w:p>
        </w:tc>
        <w:tc>
          <w:tcPr>
            <w:tcW w:type="dxa" w:w="2000"/>
            <w:tcBorders>
              <w:top w:val="single" w:color="BBBBBB" w:sz="1"/>
              <w:left w:val="single" w:color="BBBBBB" w:sz="1"/>
              <w:bottom w:val="single" w:color="BBBBBB" w:sz="1"/>
              <w:right w:val="single" w:color="BBBBBB" w:sz="1"/>
            </w:tcBorders>
            <w:shd w:fill="D6EAF8" w:val="clear"/>
            <w:tcMar>
              <w:top w:type="dxa" w:w="100"/>
              <w:left w:type="dxa" w:w="140"/>
              <w:bottom w:type="dxa" w:w="100"/>
              <w:right w:type="dxa" w:w="140"/>
            </w:tcMar>
          </w:tcPr>
          <w:p>
            <w:pPr>
              <w:jc w:val="center"/>
            </w:pPr>
            <w:r>
              <w:rPr>
                <w:rFonts w:ascii="Arial" w:cs="Arial" w:eastAsia="Arial" w:hAnsi="Arial"/>
                <w:b/>
                <w:bCs/>
                <w:color w:val="1A5276"/>
                <w:sz w:val="20"/>
                <w:szCs w:val="20"/>
              </w:rPr>
              <w:t xml:space="preserve">Esfuerzo estimado</w:t>
            </w:r>
          </w:p>
        </w:tc>
      </w:tr>
      <w:tr>
        <w:tc>
          <w:tcPr>
            <w:tcW w:type="dxa" w:w="24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Nodo Code (JS)</w:t>
            </w:r>
          </w:p>
        </w:tc>
        <w:tc>
          <w:tcPr>
            <w:tcW w:type="dxa" w:w="43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Extrae pregunta, contexto y respuesta. Construye prompt para el LLM juez.</w:t>
            </w:r>
          </w:p>
        </w:tc>
        <w:tc>
          <w:tcPr>
            <w:tcW w:type="dxa" w:w="2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30 líneas · 1h</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Nodo HTTP Request</w:t>
            </w:r>
          </w:p>
        </w:tc>
        <w:tc>
          <w:tcPr>
            <w:tcW w:type="dxa" w:w="43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Llama a la API de Anthropic con el prompt del juez y obtiene los 3 scores.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Config. · 30 min</w:t>
            </w:r>
          </w:p>
        </w:tc>
      </w:tr>
      <w:tr>
        <w:tc>
          <w:tcPr>
            <w:tcW w:type="dxa" w:w="24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bCs/>
                <w:color w:val="1C1C1C"/>
                <w:sz w:val="20"/>
                <w:szCs w:val="20"/>
              </w:rPr>
              <w:t xml:space="preserve">Nodo Supabase</w:t>
            </w:r>
          </w:p>
        </w:tc>
        <w:tc>
          <w:tcPr>
            <w:tcW w:type="dxa" w:w="4388"/>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Inserta el resultado en la tabla ragas_evaluations (schema disponible en ragas_evaluations.sql).</w:t>
            </w:r>
          </w:p>
        </w:tc>
        <w:tc>
          <w:tcPr>
            <w:tcW w:type="dxa" w:w="2000"/>
            <w:tcBorders>
              <w:top w:val="single" w:color="BBBBBB" w:sz="1"/>
              <w:left w:val="single" w:color="BBBBBB" w:sz="1"/>
              <w:bottom w:val="single" w:color="BBBBBB" w:sz="1"/>
              <w:right w:val="single" w:color="BBBBBB" w:sz="1"/>
            </w:tcBorders>
            <w:shd w:fill="F2F3F4"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Config. · 30 min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1C1C1C"/>
                <w:sz w:val="20"/>
                <w:szCs w:val="20"/>
              </w:rPr>
              <w:t xml:space="preserve">Tabla BD</w:t>
            </w:r>
          </w:p>
        </w:tc>
        <w:tc>
          <w:tcPr>
            <w:tcW w:type="dxa" w:w="438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ragas_evaluations: session_id, cot_numero, faithfulness, context_relevancy, answer_relevancy, evaluated_at, modelo, workflow_version.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C1C1C"/>
                <w:sz w:val="20"/>
                <w:szCs w:val="20"/>
              </w:rPr>
              <w:t xml:space="preserve">CREATE TABLE · 15 min</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40"/>
              <w:bottom w:type="dxa" w:w="80"/>
              <w:right w:type="dxa" w:w="140"/>
            </w:tcMar>
          </w:tcPr>
          <w:p>
            <w:pPr>
              <w:jc w:val="left"/>
            </w:pPr>
            <w:r>
              <w:rPr>
                <w:rFonts w:ascii="Arial" w:cs="Arial" w:eastAsia="Arial" w:hAnsi="Arial"/>
                <w:b/>
                <w:bCs/>
                <w:color w:val="1C1C1C"/>
                <w:sz w:val="20"/>
                <w:szCs w:val="20"/>
              </w:rPr>
              <w:t xml:space="preserve">TOTAL ESTIMADO</w:t>
            </w:r>
          </w:p>
        </w:tc>
        <w:tc>
          <w:tcPr>
            <w:tcW w:type="dxa" w:w="4388"/>
            <w:tcBorders>
              <w:top w:val="single" w:color="BBBBBB" w:sz="1"/>
              <w:left w:val="single" w:color="BBBBBB" w:sz="1"/>
              <w:bottom w:val="single" w:color="BBBBBB" w:sz="1"/>
              <w:right w:val="single" w:color="BBBBBB" w:sz="1"/>
            </w:tcBorders>
            <w:shd w:fill="D6EAF8" w:val="clear"/>
            <w:tcMar>
              <w:top w:type="dxa" w:w="80"/>
              <w:left w:type="dxa" w:w="140"/>
              <w:bottom w:type="dxa" w:w="80"/>
              <w:right w:type="dxa" w:w="140"/>
            </w:tcMar>
          </w:tcPr>
          <w:p>
            <w:pPr>
              <w:jc w:val="left"/>
            </w:pPr>
            <w:r>
              <w:rPr>
                <w:rFonts w:ascii="Arial" w:cs="Arial" w:eastAsia="Arial" w:hAnsi="Arial"/>
                <w:b w:val="false"/>
                <w:bCs w:val="false"/>
                <w:color w:val="1C1C1C"/>
                <w:sz w:val="20"/>
                <w:szCs w:val="20"/>
              </w:rPr>
              <w:t xml:space="preserve">Implementación completa del nodo evaluador automático.</w:t>
            </w:r>
          </w:p>
        </w:tc>
        <w:tc>
          <w:tcPr>
            <w:tcW w:type="dxa" w:w="2000"/>
            <w:tcBorders>
              <w:top w:val="single" w:color="BBBBBB" w:sz="1"/>
              <w:left w:val="single" w:color="BBBBBB" w:sz="1"/>
              <w:bottom w:val="single" w:color="BBBBBB" w:sz="1"/>
              <w:right w:val="single" w:color="BBBBBB" w:sz="1"/>
            </w:tcBorders>
            <w:shd w:fill="D6EAF8" w:val="clear"/>
            <w:tcMar>
              <w:top w:type="dxa" w:w="80"/>
              <w:left w:type="dxa" w:w="140"/>
              <w:bottom w:type="dxa" w:w="80"/>
              <w:right w:type="dxa" w:w="140"/>
            </w:tcMar>
          </w:tcPr>
          <w:p>
            <w:pPr>
              <w:jc w:val="center"/>
            </w:pPr>
            <w:r>
              <w:rPr>
                <w:rFonts w:ascii="Arial" w:cs="Arial" w:eastAsia="Arial" w:hAnsi="Arial"/>
                <w:b/>
                <w:bCs/>
                <w:color w:val="1C1C1C"/>
                <w:sz w:val="20"/>
                <w:szCs w:val="20"/>
              </w:rPr>
              <w:t xml:space="preserve">~2.5 horas</w:t>
            </w:r>
          </w:p>
        </w:tc>
      </w:tr>
    </w:tbl>
    <w:p>
      <w:pPr>
        <w:spacing w:after="80" w:before="80"/>
      </w:pPr>
      <w:r>
        <w:t xml:space="preserve"/>
      </w:r>
    </w:p>
    <w:p>
      <w:pPr>
        <w:spacing w:after="80" w:before="80"/>
      </w:pPr>
      <w:r>
        <w:t xml:space="preserve"/>
      </w:r>
    </w:p>
    <w:p>
      <w:pPr>
        <w:pStyle w:val="Heading1"/>
        <w:pBdr>
          <w:bottom w:val="single" w:color="1A5276" w:sz="4" w:space="4"/>
        </w:pBdr>
        <w:spacing w:after="160" w:before="320"/>
      </w:pPr>
      <w:r>
        <w:rPr>
          <w:rFonts w:ascii="Arial" w:cs="Arial" w:eastAsia="Arial" w:hAnsi="Arial"/>
          <w:b/>
          <w:bCs/>
          <w:color w:val="1A5276"/>
          <w:sz w:val="28"/>
          <w:szCs w:val="28"/>
        </w:rPr>
        <w:t xml:space="preserve">Referencias</w:t>
      </w:r>
    </w:p>
    <w:p>
      <w:pPr>
        <w:spacing w:after="80" w:before="80"/>
        <w:jc w:val="left"/>
      </w:pPr>
      <w:r>
        <w:rPr>
          <w:rFonts w:ascii="Arial" w:cs="Arial" w:eastAsia="Arial" w:hAnsi="Arial"/>
          <w:b w:val="false"/>
          <w:bCs w:val="false"/>
          <w:i w:val="false"/>
          <w:iCs w:val="false"/>
          <w:color w:val="1C1C1C"/>
          <w:sz w:val="22"/>
          <w:szCs w:val="22"/>
        </w:rPr>
        <w:t xml:space="preserve">Es, S., James, J., Espinosa-Anke, L., &amp; Schockaert, S. (2023). RAGAS: Automated Evaluation of Retrieval Augmented Generation. arXiv:2309.15217. https://arxiv.org/abs/2309.15217</w:t>
      </w:r>
    </w:p>
    <w:p>
      <w:pPr>
        <w:spacing w:after="80" w:before="80"/>
        <w:jc w:val="left"/>
      </w:pPr>
      <w:r>
        <w:rPr>
          <w:rFonts w:ascii="Arial" w:cs="Arial" w:eastAsia="Arial" w:hAnsi="Arial"/>
          <w:b w:val="false"/>
          <w:bCs w:val="false"/>
          <w:i w:val="false"/>
          <w:iCs w:val="false"/>
          <w:color w:val="1C1C1C"/>
          <w:sz w:val="22"/>
          <w:szCs w:val="22"/>
        </w:rPr>
        <w:t xml:space="preserve">Anthropic. (2024). Claude API Documentation — Tool Use. https://docs.anthropic.com/en/docs/build-with-claude/tool-use</w:t>
      </w:r>
    </w:p>
    <w:p>
      <w:pPr>
        <w:spacing w:after="80" w:before="80"/>
        <w:jc w:val="left"/>
      </w:pPr>
      <w:r>
        <w:rPr>
          <w:rFonts w:ascii="Arial" w:cs="Arial" w:eastAsia="Arial" w:hAnsi="Arial"/>
          <w:b w:val="false"/>
          <w:bCs w:val="false"/>
          <w:i w:val="false"/>
          <w:iCs w:val="false"/>
          <w:color w:val="1C1C1C"/>
          <w:sz w:val="22"/>
          <w:szCs w:val="22"/>
        </w:rPr>
        <w:t xml:space="preserve">Documentación Flujo N8N — 04_Documentacion_Flujo_N8N.docx — Trato Hecho, DuocUC 2026.</w:t>
      </w:r>
    </w:p>
    <w:p>
      <w:pPr>
        <w:spacing w:after="80" w:before="80"/>
        <w:jc w:val="left"/>
      </w:pPr>
      <w:r>
        <w:rPr>
          <w:rFonts w:ascii="Arial" w:cs="Arial" w:eastAsia="Arial" w:hAnsi="Arial"/>
          <w:b w:val="false"/>
          <w:bCs w:val="false"/>
          <w:i w:val="false"/>
          <w:iCs w:val="false"/>
          <w:color w:val="1C1C1C"/>
          <w:sz w:val="22"/>
          <w:szCs w:val="22"/>
        </w:rPr>
        <w:t xml:space="preserve">Plan de Pruebas v1.0 — 06_Plan_de_Pruebas.docx — DuocUC 2026.</w:t>
      </w:r>
    </w:p>
    <w:p>
      <w:pPr>
        <w:spacing w:after="80" w:before="80"/>
        <w:jc w:val="left"/>
      </w:pPr>
      <w:r>
        <w:rPr>
          <w:rFonts w:ascii="Arial" w:cs="Arial" w:eastAsia="Arial" w:hAnsi="Arial"/>
          <w:b w:val="false"/>
          <w:bCs w:val="false"/>
          <w:i w:val="false"/>
          <w:iCs w:val="false"/>
          <w:color w:val="1C1C1C"/>
          <w:sz w:val="22"/>
          <w:szCs w:val="22"/>
        </w:rPr>
        <w:t xml:space="preserve">Historial de conversaciones — Exportación Supabase, tabla historial, Junio 2026.</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jc w:val="center"/>
    </w:pPr>
    <w:r>
      <w:rPr>
        <w:rFonts w:ascii="Arial" w:cs="Arial" w:eastAsia="Arial" w:hAnsi="Arial"/>
        <w:color w:val="777777"/>
        <w:sz w:val="18"/>
        <w:szCs w:val="18"/>
      </w:rPr>
      <w:t xml:space="preserve">Página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pPr>
    <w:r>
      <w:rPr>
        <w:rFonts w:ascii="Arial" w:cs="Arial" w:eastAsia="Arial" w:hAnsi="Arial"/>
        <w:b/>
        <w:bCs/>
        <w:color w:val="1A5276"/>
        <w:sz w:val="18"/>
        <w:szCs w:val="18"/>
      </w:rPr>
      <w:t xml:space="preserve">Trato Hecho — Evaluación de Calidad del Agente IA (RAGAS)</w:t>
    </w:r>
    <w:r>
      <w:rPr>
        <w:rFonts w:ascii="Arial" w:cs="Arial" w:eastAsia="Arial" w:hAnsi="Arial"/>
        <w:color w:val="777777"/>
        <w:sz w:val="16"/>
        <w:szCs w:val="16"/>
      </w:rPr>
      <w:t xml:space="preserve">   ·   DuocUC · Taller Aplicado de Programación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2026-06-08T15:52:43.515Z</dcterms:created>
  <dcterms:modified xsi:type="dcterms:W3CDTF">2026-06-08T15:52:43.530Z</dcterms:modified>
</cp:coreProperties>
</file>

<file path=docProps/custom.xml><?xml version="1.0" encoding="utf-8"?>
<Properties xmlns="http://schemas.openxmlformats.org/officeDocument/2006/custom-properties" xmlns:vt="http://schemas.openxmlformats.org/officeDocument/2006/docPropsVTypes"/>
</file>