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B6" w:rsidRPr="005D15B6" w:rsidRDefault="005D15B6" w:rsidP="005D15B6">
      <w:pPr>
        <w:jc w:val="center"/>
        <w:rPr>
          <w:rFonts w:ascii="Arial" w:hAnsi="Arial" w:cs="Arial"/>
          <w:color w:val="707070"/>
          <w:sz w:val="28"/>
          <w:szCs w:val="28"/>
          <w:shd w:val="clear" w:color="auto" w:fill="FFFFFF"/>
        </w:rPr>
      </w:pPr>
      <w:r w:rsidRPr="005D15B6">
        <w:rPr>
          <w:rFonts w:ascii="Arial" w:hAnsi="Arial" w:cs="Arial"/>
          <w:color w:val="707070"/>
          <w:sz w:val="28"/>
          <w:szCs w:val="28"/>
          <w:shd w:val="clear" w:color="auto" w:fill="FFFFFF"/>
        </w:rPr>
        <w:t>luminescência</w:t>
      </w:r>
      <w:bookmarkStart w:id="0" w:name="_GoBack"/>
      <w:bookmarkEnd w:id="0"/>
    </w:p>
    <w:p w:rsidR="000A0784" w:rsidRPr="005D15B6" w:rsidRDefault="005D15B6">
      <w:pPr>
        <w:rPr>
          <w:rFonts w:ascii="Arial" w:hAnsi="Arial" w:cs="Arial"/>
          <w:color w:val="707070"/>
          <w:sz w:val="24"/>
          <w:szCs w:val="24"/>
          <w:shd w:val="clear" w:color="auto" w:fill="FFFFFF"/>
        </w:rPr>
      </w:pPr>
      <w:r w:rsidRPr="005D15B6">
        <w:rPr>
          <w:rFonts w:ascii="Arial" w:hAnsi="Arial" w:cs="Arial"/>
          <w:color w:val="707070"/>
          <w:sz w:val="24"/>
          <w:szCs w:val="24"/>
          <w:shd w:val="clear" w:color="auto" w:fill="FFFFFF"/>
        </w:rPr>
        <w:t>Por definição, luminescência é a emissão de luz por objetos frios, em oposição à incandescência, que é a emissão de luz por objetos quentes. Simplificando, é a radiação de origem não térmica. Em termos moleculares, é um fenômeno resultante da transição de moléculas de um estado excitado para o estado básico. Como resultado dessa transição, a radiação é emitida.</w:t>
      </w:r>
    </w:p>
    <w:p w:rsidR="005D15B6" w:rsidRPr="005D15B6" w:rsidRDefault="005D15B6">
      <w:pPr>
        <w:rPr>
          <w:rFonts w:ascii="Arial" w:hAnsi="Arial" w:cs="Arial"/>
          <w:color w:val="707070"/>
          <w:sz w:val="24"/>
          <w:szCs w:val="24"/>
          <w:shd w:val="clear" w:color="auto" w:fill="FFFFFF"/>
        </w:rPr>
      </w:pPr>
      <w:r w:rsidRPr="005D15B6">
        <w:rPr>
          <w:rFonts w:ascii="Arial" w:hAnsi="Arial" w:cs="Arial"/>
          <w:color w:val="707070"/>
          <w:sz w:val="24"/>
          <w:szCs w:val="24"/>
          <w:shd w:val="clear" w:color="auto" w:fill="FFFFFF"/>
        </w:rPr>
        <w:t>Q</w:t>
      </w:r>
      <w:r w:rsidRPr="005D15B6">
        <w:rPr>
          <w:rFonts w:ascii="Arial" w:hAnsi="Arial" w:cs="Arial"/>
          <w:color w:val="707070"/>
          <w:sz w:val="24"/>
          <w:szCs w:val="24"/>
          <w:shd w:val="clear" w:color="auto" w:fill="FFFFFF"/>
        </w:rPr>
        <w:t xml:space="preserve">ualquer energia absorvida pelo sistema deve ser emitida. Ocorre de várias maneiras, por exemplo, na forma de luminescência, calor ou mudanças </w:t>
      </w:r>
      <w:proofErr w:type="spellStart"/>
      <w:r w:rsidRPr="005D15B6">
        <w:rPr>
          <w:rFonts w:ascii="Arial" w:hAnsi="Arial" w:cs="Arial"/>
          <w:color w:val="707070"/>
          <w:sz w:val="24"/>
          <w:szCs w:val="24"/>
          <w:shd w:val="clear" w:color="auto" w:fill="FFFFFF"/>
        </w:rPr>
        <w:t>conformacionais</w:t>
      </w:r>
      <w:proofErr w:type="spellEnd"/>
      <w:r w:rsidRPr="005D15B6">
        <w:rPr>
          <w:rFonts w:ascii="Arial" w:hAnsi="Arial" w:cs="Arial"/>
          <w:color w:val="707070"/>
          <w:sz w:val="24"/>
          <w:szCs w:val="24"/>
          <w:shd w:val="clear" w:color="auto" w:fill="FFFFFF"/>
        </w:rPr>
        <w:t xml:space="preserve"> nas moléculas. Segundo o cientista Sergei </w:t>
      </w:r>
      <w:proofErr w:type="spellStart"/>
      <w:r w:rsidRPr="005D15B6">
        <w:rPr>
          <w:rFonts w:ascii="Arial" w:hAnsi="Arial" w:cs="Arial"/>
          <w:color w:val="707070"/>
          <w:sz w:val="24"/>
          <w:szCs w:val="24"/>
          <w:shd w:val="clear" w:color="auto" w:fill="FFFFFF"/>
        </w:rPr>
        <w:t>Vavilov</w:t>
      </w:r>
      <w:proofErr w:type="spellEnd"/>
      <w:r w:rsidRPr="005D15B6">
        <w:rPr>
          <w:rFonts w:ascii="Arial" w:hAnsi="Arial" w:cs="Arial"/>
          <w:color w:val="707070"/>
          <w:sz w:val="24"/>
          <w:szCs w:val="24"/>
          <w:shd w:val="clear" w:color="auto" w:fill="FFFFFF"/>
        </w:rPr>
        <w:t>: "A luminescência é o excesso de radiação de um corpo sobre a radiação de temperatura do mesmo corpo em uma determinada região espectral e em uma determinada temperatura, que também é caracterizada por um tempo de iluminação finito, ou seja, não desaparece imediatamente após a interrupção da excitação."</w:t>
      </w:r>
    </w:p>
    <w:p w:rsidR="005D15B6" w:rsidRPr="005D15B6" w:rsidRDefault="005D15B6" w:rsidP="005D15B6">
      <w:pPr>
        <w:shd w:val="clear" w:color="auto" w:fill="FFFFFF"/>
        <w:spacing w:before="240" w:after="240" w:line="540" w:lineRule="atLeast"/>
        <w:outlineLvl w:val="1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b/>
          <w:bCs/>
          <w:color w:val="707070"/>
          <w:sz w:val="24"/>
          <w:szCs w:val="24"/>
          <w:lang w:eastAsia="pt-PT"/>
        </w:rPr>
        <w:t>Tipos de luminescência</w:t>
      </w:r>
    </w:p>
    <w:p w:rsidR="005D15B6" w:rsidRPr="005D15B6" w:rsidRDefault="005D15B6" w:rsidP="005D15B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Distinguimos diferentes tipos de luminescência de acordo com o fator que os excita a iluminar. Os mais populares são:</w:t>
      </w:r>
    </w:p>
    <w:p w:rsidR="005D15B6" w:rsidRPr="005D15B6" w:rsidRDefault="005D15B6" w:rsidP="005D15B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Fotoluminescência, onde o fator de excitação é a radiação eletromagnética do espectro visível, ultravioleta ou infravermelho. A energia emitida, na forma de luz, costuma ser menor que a energia de excitação.</w:t>
      </w:r>
    </w:p>
    <w:p w:rsidR="005D15B6" w:rsidRPr="005D15B6" w:rsidRDefault="005D15B6" w:rsidP="005D15B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A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quimioluminescência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, onde uma substância é excitada por reações químicas, esse fenômeno ocorre, por exemplo, devido à oxidação do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luminol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. É usado para a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detecção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de sangue na cena do crime – uma mistura de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luminol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e</w:t>
      </w:r>
      <w:hyperlink r:id="rId5" w:history="1">
        <w:r w:rsidRPr="005D15B6">
          <w:rPr>
            <w:rFonts w:ascii="Arial" w:eastAsia="Times New Roman" w:hAnsi="Arial" w:cs="Arial"/>
            <w:color w:val="4190E3"/>
            <w:sz w:val="24"/>
            <w:szCs w:val="24"/>
            <w:u w:val="single"/>
            <w:lang w:eastAsia="pt-PT"/>
          </w:rPr>
          <w:t>peróxido</w:t>
        </w:r>
        <w:proofErr w:type="spellEnd"/>
        <w:r w:rsidRPr="005D15B6">
          <w:rPr>
            <w:rFonts w:ascii="Arial" w:eastAsia="Times New Roman" w:hAnsi="Arial" w:cs="Arial"/>
            <w:color w:val="4190E3"/>
            <w:sz w:val="24"/>
            <w:szCs w:val="24"/>
            <w:u w:val="single"/>
            <w:lang w:eastAsia="pt-PT"/>
          </w:rPr>
          <w:t xml:space="preserve"> de hidrogênio</w:t>
        </w:r>
      </w:hyperlink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 – um forte oxidante – é pulverizado.</w:t>
      </w:r>
    </w:p>
    <w:p w:rsidR="005D15B6" w:rsidRPr="005D15B6" w:rsidRDefault="005D15B6" w:rsidP="005D15B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A bioluminescência, caracterizada pela excitação de substâncias como resultado de reações bioquímicas, pode ser observada em vaga-lumes. Na prática, esse tipo de emissão de radiação é causado por uma reação enzimática que leva à oxidação da luciferina pela luciferase. Todos os organismos vivos têm o potencial de bioluminescência, mas geralmente é muito baixo para ser notado.</w:t>
      </w:r>
    </w:p>
    <w:p w:rsidR="005D15B6" w:rsidRPr="005D15B6" w:rsidRDefault="005D15B6" w:rsidP="005D15B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Eletroluminescência, onde a excitação de um sólido ocorre em um campo elétrico alternado ou constante, enquanto os gases sofrem eletroluminescência sob descargas elétricas. Este fenômeno é utilizado, entre outros, em lâmpadas fluorescentes,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capacitores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eletroluminescentes e conversores de imagem.</w:t>
      </w:r>
    </w:p>
    <w:p w:rsidR="005D15B6" w:rsidRPr="005D15B6" w:rsidRDefault="005D15B6" w:rsidP="005D15B6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A luminescência de raios X é a emissão de luz causada pelos raios X. As telas de aprimoramento usadas para melhorar a qualidade da imagem são baseadas nesse fenômeno, usando tungstato de cálcio.</w:t>
      </w:r>
    </w:p>
    <w:p w:rsidR="005D15B6" w:rsidRPr="005D15B6" w:rsidRDefault="005D15B6" w:rsidP="005D15B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Além disso, existem muitos outros tipos de luminescência, como radioluminescência, luminescência estimulada por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elétrons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, sonoluminescência, triboluminescência e termoluminescência.</w:t>
      </w:r>
    </w:p>
    <w:p w:rsidR="005D15B6" w:rsidRPr="005D15B6" w:rsidRDefault="005D15B6" w:rsidP="005D15B6">
      <w:pPr>
        <w:shd w:val="clear" w:color="auto" w:fill="FFFFFF"/>
        <w:spacing w:before="240" w:after="240" w:line="540" w:lineRule="atLeast"/>
        <w:outlineLvl w:val="1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b/>
          <w:bCs/>
          <w:color w:val="707070"/>
          <w:sz w:val="24"/>
          <w:szCs w:val="24"/>
          <w:lang w:eastAsia="pt-PT"/>
        </w:rPr>
        <w:lastRenderedPageBreak/>
        <w:t>Fotoluminescência</w:t>
      </w:r>
    </w:p>
    <w:p w:rsidR="005D15B6" w:rsidRPr="005D15B6" w:rsidRDefault="005D15B6" w:rsidP="005D15B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A fotoluminescência é o fenômeno mais frequentemente usado em análises químicas. Pode ser categorizado em duas categorias principais de acordo com os mecanismos de transições eletrônicas, ou mais claramente de acordo com o tempo entre a absorção e a emissão de energia. Estes são:</w:t>
      </w:r>
    </w:p>
    <w:p w:rsidR="005D15B6" w:rsidRPr="005D15B6" w:rsidRDefault="005D15B6" w:rsidP="005D15B6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Fluorescência, que é uma iluminação de curto prazo, onde não passam mais de 10 </w:t>
      </w:r>
      <w:r w:rsidRPr="005D15B6">
        <w:rPr>
          <w:rFonts w:ascii="Arial" w:eastAsia="Times New Roman" w:hAnsi="Arial" w:cs="Arial"/>
          <w:color w:val="707070"/>
          <w:sz w:val="24"/>
          <w:szCs w:val="24"/>
          <w:vertAlign w:val="superscript"/>
          <w:lang w:eastAsia="pt-PT"/>
        </w:rPr>
        <w:t>-8</w:t>
      </w: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 segundos desde a absorção de energia até a emissão. Ocorre no caso de uma transição espontânea de um nível de energia mais alto de um elétron para um mais baixo.</w:t>
      </w:r>
    </w:p>
    <w:p w:rsidR="005D15B6" w:rsidRPr="005D15B6" w:rsidRDefault="005D15B6" w:rsidP="005D15B6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A fosforescência é um fenômeno de iluminação de longa duração, que ocorre em um tempo superior a 10 </w:t>
      </w:r>
      <w:r w:rsidRPr="005D15B6">
        <w:rPr>
          <w:rFonts w:ascii="Arial" w:eastAsia="Times New Roman" w:hAnsi="Arial" w:cs="Arial"/>
          <w:color w:val="707070"/>
          <w:sz w:val="24"/>
          <w:szCs w:val="24"/>
          <w:vertAlign w:val="superscript"/>
          <w:lang w:eastAsia="pt-PT"/>
        </w:rPr>
        <w:t>-8</w:t>
      </w: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 s a partir da absorção de energia. Às vezes, leva horas ou dias para emitir luz. Este tipo de energia requer a existência de níveis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metaestáveis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e é criada com a participação da energia térmica do meio.</w:t>
      </w:r>
    </w:p>
    <w:p w:rsidR="005D15B6" w:rsidRPr="005D15B6" w:rsidRDefault="005D15B6" w:rsidP="005D15B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A energia de fluorescência e fosforescência é muito menor do que a energia da radiação de excitação. Resulta da degradação energética da molécula através de transições térmicas não radiativas. Como os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fótons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emitidos têm energia menor que os de excitação, o espectro de emissão se desloca para comprimentos de onda mais longos. O espectro de fosforescência é o mais deslocado, porque a transição do estado molecular ocorre não do nível do estado singleto excitado zero S </w:t>
      </w:r>
      <w:r w:rsidRPr="005D15B6">
        <w:rPr>
          <w:rFonts w:ascii="Arial" w:eastAsia="Times New Roman" w:hAnsi="Arial" w:cs="Arial"/>
          <w:color w:val="707070"/>
          <w:sz w:val="24"/>
          <w:szCs w:val="24"/>
          <w:vertAlign w:val="subscript"/>
          <w:lang w:eastAsia="pt-PT"/>
        </w:rPr>
        <w:t>1</w:t>
      </w: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 como no caso da fluorescência, mas do nível do estado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triplete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zero T </w:t>
      </w:r>
      <w:r w:rsidRPr="005D15B6">
        <w:rPr>
          <w:rFonts w:ascii="Arial" w:eastAsia="Times New Roman" w:hAnsi="Arial" w:cs="Arial"/>
          <w:color w:val="707070"/>
          <w:sz w:val="24"/>
          <w:szCs w:val="24"/>
          <w:vertAlign w:val="subscript"/>
          <w:lang w:eastAsia="pt-PT"/>
        </w:rPr>
        <w:t>1</w:t>
      </w: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 para qualquer estado oscilatório- nível de rotação do estado fundamental singleto S </w:t>
      </w:r>
      <w:proofErr w:type="gramStart"/>
      <w:r w:rsidRPr="005D15B6">
        <w:rPr>
          <w:rFonts w:ascii="Arial" w:eastAsia="Times New Roman" w:hAnsi="Arial" w:cs="Arial"/>
          <w:color w:val="707070"/>
          <w:sz w:val="24"/>
          <w:szCs w:val="24"/>
          <w:vertAlign w:val="subscript"/>
          <w:lang w:eastAsia="pt-PT"/>
        </w:rPr>
        <w:t>0</w:t>
      </w: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 .</w:t>
      </w:r>
      <w:proofErr w:type="gram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Tais transições podem ser observadas graficamente no diagrama de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Jablonski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.</w:t>
      </w:r>
    </w:p>
    <w:p w:rsidR="005D15B6" w:rsidRPr="005D15B6" w:rsidRDefault="005D15B6" w:rsidP="005D15B6">
      <w:pPr>
        <w:shd w:val="clear" w:color="auto" w:fill="FFFFFF"/>
        <w:spacing w:before="240" w:after="240" w:line="540" w:lineRule="atLeast"/>
        <w:outlineLvl w:val="1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b/>
          <w:bCs/>
          <w:color w:val="707070"/>
          <w:sz w:val="24"/>
          <w:szCs w:val="24"/>
          <w:lang w:eastAsia="pt-PT"/>
        </w:rPr>
        <w:t>Fluorescência</w:t>
      </w:r>
    </w:p>
    <w:p w:rsidR="005D15B6" w:rsidRPr="005D15B6" w:rsidRDefault="005D15B6" w:rsidP="005D15B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A fluorescência é o fenômeno de luminescência mais frequentemente usado em análises químicas. Tal emissão de radiação é descrita por várias características básicas, ou seja: espectro de absorção, espectro de fluorescência, eficiência quântica de fluorescência absoluta e duração da emissão. O rendimento quântico absoluto é a razão entre o número de quanta da radiação emitida e o número de quanta da radiação de excitação. A duração da emissão é o tempo em que a intensidade da fluorescência decai para um determinado valor. A têmpera por concentração também é um fenômeno interessante. É caracterizada pelo limite de concentração do fósforo na solução, além do qual a fluorescência começa a diminuir. Um fósforo é um composto químico que exibe luminescência. Estes são, por exemplo, polímeros, eosina, sulfetos de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ZnS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e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oxissulfetos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de ítrio.</w:t>
      </w:r>
    </w:p>
    <w:p w:rsidR="005D15B6" w:rsidRPr="005D15B6" w:rsidRDefault="005D15B6" w:rsidP="005D15B6">
      <w:pPr>
        <w:shd w:val="clear" w:color="auto" w:fill="FFFFFF"/>
        <w:spacing w:before="240" w:after="240" w:line="540" w:lineRule="atLeast"/>
        <w:outlineLvl w:val="1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b/>
          <w:bCs/>
          <w:color w:val="707070"/>
          <w:sz w:val="24"/>
          <w:szCs w:val="24"/>
          <w:lang w:eastAsia="pt-PT"/>
        </w:rPr>
        <w:t>Fotoluminescência de compostos orgânicos</w:t>
      </w:r>
    </w:p>
    <w:p w:rsidR="005D15B6" w:rsidRPr="005D15B6" w:rsidRDefault="005D15B6" w:rsidP="005D15B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Acontece que existem muitas regularidades que as moléculas orgânicas apresentam em relação à fotoluminescência. Sua banda de fluorescência é deslocada em relação à banda de absorção para comprimentos de onda mais </w:t>
      </w: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lastRenderedPageBreak/>
        <w:t xml:space="preserve">longos, mas os espectros se sobrepõem parcialmente. Existe também uma relação proporcional entre a intensidade da luz de excitação, absorção e rendimento quântico de fluorescência e fluorescência. Portanto, é possível utilizá-lo em análises qualitativas e quantitativas. A análise quantitativa usando esse fenômeno é chamada de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espectrofluorimetria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. A técnica tem um limite de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detecção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mais baixo em comparação com a espectrofotometria de absorção e é altamente seletiva. A seletividade resulta do fato de que compostos químicos específicos, derivados de compostos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arílicos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, tendo um sistema conjugado de ligações duplas, sofrem fluorescência. Na prática, isso significa que quanto mais anéis aromáticos na estrutura, mais fortes são as propriedades fluorescentes do produto químico. A aplicação da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espectrofluorimetria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na </w:t>
      </w:r>
      <w:hyperlink r:id="rId6" w:history="1">
        <w:r w:rsidRPr="005D15B6">
          <w:rPr>
            <w:rFonts w:ascii="Arial" w:eastAsia="Times New Roman" w:hAnsi="Arial" w:cs="Arial"/>
            <w:color w:val="4190E3"/>
            <w:sz w:val="24"/>
            <w:szCs w:val="24"/>
            <w:u w:val="single"/>
            <w:lang w:eastAsia="pt-PT"/>
          </w:rPr>
          <w:t>química orgânica</w:t>
        </w:r>
      </w:hyperlink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 inclui a análise de compostos biologicamente ativos, como vitaminas, </w:t>
      </w:r>
      <w:hyperlink r:id="rId7" w:history="1">
        <w:r w:rsidRPr="005D15B6">
          <w:rPr>
            <w:rFonts w:ascii="Arial" w:eastAsia="Times New Roman" w:hAnsi="Arial" w:cs="Arial"/>
            <w:color w:val="4190E3"/>
            <w:sz w:val="24"/>
            <w:szCs w:val="24"/>
            <w:u w:val="single"/>
            <w:lang w:eastAsia="pt-PT"/>
          </w:rPr>
          <w:t>aminoácidos</w:t>
        </w:r>
      </w:hyperlink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 , proteínas; produtos farmacêuticos, incluindo antibióticos; compostos alimentares, como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carboidratos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e </w:t>
      </w:r>
      <w:hyperlink r:id="rId8" w:history="1">
        <w:r w:rsidRPr="005D15B6">
          <w:rPr>
            <w:rFonts w:ascii="Arial" w:eastAsia="Times New Roman" w:hAnsi="Arial" w:cs="Arial"/>
            <w:color w:val="4190E3"/>
            <w:sz w:val="24"/>
            <w:szCs w:val="24"/>
            <w:u w:val="single"/>
            <w:lang w:eastAsia="pt-PT"/>
          </w:rPr>
          <w:t>gorduras</w:t>
        </w:r>
      </w:hyperlink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 , e tóxicos ambientais, como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PAHs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(hidrocarbonetos aromáticos policíclicos).</w:t>
      </w:r>
    </w:p>
    <w:p w:rsidR="005D15B6" w:rsidRPr="005D15B6" w:rsidRDefault="005D15B6" w:rsidP="005D15B6">
      <w:pPr>
        <w:shd w:val="clear" w:color="auto" w:fill="FFFFFF"/>
        <w:spacing w:before="240" w:after="240" w:line="540" w:lineRule="atLeast"/>
        <w:outlineLvl w:val="1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proofErr w:type="spellStart"/>
      <w:r w:rsidRPr="005D15B6">
        <w:rPr>
          <w:rFonts w:ascii="Arial" w:eastAsia="Times New Roman" w:hAnsi="Arial" w:cs="Arial"/>
          <w:b/>
          <w:bCs/>
          <w:color w:val="707070"/>
          <w:sz w:val="24"/>
          <w:szCs w:val="24"/>
          <w:lang w:eastAsia="pt-PT"/>
        </w:rPr>
        <w:t>Espectrofluorimetria</w:t>
      </w:r>
      <w:proofErr w:type="spellEnd"/>
      <w:r w:rsidRPr="005D15B6">
        <w:rPr>
          <w:rFonts w:ascii="Arial" w:eastAsia="Times New Roman" w:hAnsi="Arial" w:cs="Arial"/>
          <w:b/>
          <w:bCs/>
          <w:color w:val="707070"/>
          <w:sz w:val="24"/>
          <w:szCs w:val="24"/>
          <w:lang w:eastAsia="pt-PT"/>
        </w:rPr>
        <w:t xml:space="preserve"> de compostos inorgânicos</w:t>
      </w:r>
    </w:p>
    <w:p w:rsidR="005D15B6" w:rsidRPr="005D15B6" w:rsidRDefault="005D15B6" w:rsidP="005D15B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Ensaios </w:t>
      </w:r>
      <w:hyperlink r:id="rId9" w:history="1">
        <w:r w:rsidRPr="005D15B6">
          <w:rPr>
            <w:rFonts w:ascii="Arial" w:eastAsia="Times New Roman" w:hAnsi="Arial" w:cs="Arial"/>
            <w:color w:val="4190E3"/>
            <w:sz w:val="24"/>
            <w:szCs w:val="24"/>
            <w:u w:val="single"/>
            <w:lang w:eastAsia="pt-PT"/>
          </w:rPr>
          <w:t>de química inorgânica</w:t>
        </w:r>
      </w:hyperlink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 baseados no fenômeno da fluorimetria são realizados utilizando o mecanismo de formação de complexos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quelatos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entre elementos como alumínio, berílio, magnésio, cálcio e elementos de terras raras com ligantes orgânicos apropriados. Esses complexos exibem uma fluorescência específica e os limites de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detecção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são muito baixos.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3000"/>
        <w:gridCol w:w="2316"/>
      </w:tblGrid>
      <w:tr w:rsidR="005D15B6" w:rsidRPr="005D15B6" w:rsidTr="005D15B6"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Reagente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elemento ensaiado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 xml:space="preserve">Sensibilidade [ </w:t>
            </w:r>
            <w:proofErr w:type="spellStart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μg·cm</w:t>
            </w:r>
            <w:proofErr w:type="spellEnd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 </w:t>
            </w: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vertAlign w:val="superscript"/>
                <w:lang w:eastAsia="pt-PT"/>
              </w:rPr>
              <w:t>-1</w:t>
            </w: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]</w:t>
            </w:r>
          </w:p>
        </w:tc>
      </w:tr>
      <w:tr w:rsidR="005D15B6" w:rsidRPr="005D15B6" w:rsidTr="005D15B6"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proofErr w:type="spellStart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Salicil</w:t>
            </w:r>
            <w:proofErr w:type="spellEnd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-o-</w:t>
            </w:r>
            <w:proofErr w:type="spellStart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aminofenol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 xml:space="preserve">Al Ga </w:t>
            </w:r>
            <w:proofErr w:type="spellStart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Sb</w:t>
            </w:r>
            <w:proofErr w:type="spellEnd"/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0,0005 0,15 0,2</w:t>
            </w:r>
          </w:p>
        </w:tc>
      </w:tr>
      <w:tr w:rsidR="005D15B6" w:rsidRPr="005D15B6" w:rsidTr="005D15B6"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 xml:space="preserve">IREA </w:t>
            </w:r>
            <w:proofErr w:type="spellStart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lumonomagnesona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mg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0,002</w:t>
            </w:r>
          </w:p>
        </w:tc>
      </w:tr>
      <w:tr w:rsidR="005D15B6" w:rsidRPr="005D15B6" w:rsidTr="005D15B6"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proofErr w:type="spellStart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morin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proofErr w:type="spellStart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Fe</w:t>
            </w:r>
            <w:proofErr w:type="spellEnd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Th</w:t>
            </w:r>
            <w:proofErr w:type="spellEnd"/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15B6" w:rsidRPr="005D15B6" w:rsidRDefault="005D15B6" w:rsidP="005D15B6">
            <w:pPr>
              <w:spacing w:after="0" w:line="240" w:lineRule="auto"/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</w:pPr>
            <w:r w:rsidRPr="005D15B6">
              <w:rPr>
                <w:rFonts w:ascii="Arial" w:eastAsia="Times New Roman" w:hAnsi="Arial" w:cs="Arial"/>
                <w:color w:val="707070"/>
                <w:sz w:val="24"/>
                <w:szCs w:val="24"/>
                <w:lang w:eastAsia="pt-PT"/>
              </w:rPr>
              <w:t>0,001 0,0004</w:t>
            </w:r>
          </w:p>
        </w:tc>
      </w:tr>
    </w:tbl>
    <w:p w:rsidR="005D15B6" w:rsidRPr="005D15B6" w:rsidRDefault="005D15B6" w:rsidP="005D15B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707070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Tabela 1. Exemplos de reagentes usados para a determinação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fluorimétrica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 xml:space="preserve"> de metais e </w:t>
      </w:r>
      <w:proofErr w:type="spellStart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LoD</w:t>
      </w:r>
      <w:proofErr w:type="spellEnd"/>
      <w:r w:rsidRPr="005D15B6">
        <w:rPr>
          <w:rFonts w:ascii="Arial" w:eastAsia="Times New Roman" w:hAnsi="Arial" w:cs="Arial"/>
          <w:color w:val="707070"/>
          <w:sz w:val="24"/>
          <w:szCs w:val="24"/>
          <w:lang w:eastAsia="pt-PT"/>
        </w:rPr>
        <w:t>.</w:t>
      </w:r>
    </w:p>
    <w:p w:rsidR="005D15B6" w:rsidRDefault="005D15B6" w:rsidP="005D15B6">
      <w:pPr>
        <w:pStyle w:val="Cabealho1"/>
        <w:shd w:val="clear" w:color="auto" w:fill="FFFFFF"/>
        <w:spacing w:before="0" w:after="225"/>
        <w:jc w:val="center"/>
        <w:textAlignment w:val="baseline"/>
        <w:rPr>
          <w:rFonts w:ascii="Roboto" w:hAnsi="Roboto"/>
          <w:color w:val="232323"/>
        </w:rPr>
      </w:pPr>
      <w:r>
        <w:rPr>
          <w:rFonts w:ascii="Roboto" w:hAnsi="Roboto"/>
          <w:b/>
          <w:bCs/>
          <w:color w:val="232323"/>
        </w:rPr>
        <w:t>Termoluminescência</w:t>
      </w:r>
    </w:p>
    <w:p w:rsidR="005D15B6" w:rsidRPr="005D15B6" w:rsidRDefault="005D15B6" w:rsidP="005D15B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  <w:lang w:eastAsia="pt-PT"/>
        </w:rPr>
        <w:t>Mitocôndrias e Quasares</w:t>
      </w:r>
    </w:p>
    <w:p w:rsidR="005D15B6" w:rsidRPr="005D15B6" w:rsidRDefault="005D15B6" w:rsidP="005D15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t>Um dos objetivos da geologia é a determinação do tempo em que ocorreu um fenómeno geológico local (por exemplo, a idade de um jazigo mineral) ou geral (por exemplo, as diferentes glaciações). Para este desidrato, esta área de conhecimento socorreu-se de vários métodos que permitem, com uma margem de erro aceitável, determinar a idade de rochas, de objetos de cerâmica ou de qualquer material que contenha carbono. Mas nenhum método é universal, uma vez que cada um se aplica a materiais específicos e a um período bem definido do passado.</w:t>
      </w:r>
    </w:p>
    <w:p w:rsidR="005D15B6" w:rsidRPr="005D15B6" w:rsidRDefault="005D15B6" w:rsidP="005D15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t xml:space="preserve">A termoluminescência é o nome pelo qual é conhecido um processo particular do fenómeno da luminescência, isto é, de emissão de luz que não estão associadas a altas temperaturas, mas a condições de baixa temperatura. A termoluminescência é a propriedade de certos sólidos de emitir luz quando são aquecidos, e está presente em muitos minerais. Trata-se da emissão de energia previamente absorvida como resultado de um estímulo térmico. O facto de certos </w:t>
      </w:r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lastRenderedPageBreak/>
        <w:t xml:space="preserve">minerais emitirem luz quando aquecidos é conhecido de longa data. Provavelmente, o primeiro relato científico sobre termoluminescência foi feito por Robert </w:t>
      </w:r>
      <w:proofErr w:type="spellStart"/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t>Boyle</w:t>
      </w:r>
      <w:proofErr w:type="spellEnd"/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t xml:space="preserve"> em 1663, quando observou uma ténue luminescência em diamantes aquecidos pelo seu próprio corpo. Até meados do século XIX a interpretação do fenómeno era que o próprio calor estava a ser convertido em luz dentro dos minerais. Importa salientar que a luz não é produzida pela temperatura, mas como resultado da exposição do sólido à mesma e, por conseguinte, mantém-se algum tempo depois de o material se ter afastado da fonte de calor. Quando um material em estado sólido recebe a energia a partir de uma fonte de radiação, como seja o Sol ou o fogo, esta energia é absorvida pela estrutura eletrónica e, posteriormente, quando os eletrões regressam ao seu estado fundamental, é de novo emitida.</w:t>
      </w:r>
    </w:p>
    <w:p w:rsidR="005D15B6" w:rsidRPr="005D15B6" w:rsidRDefault="005D15B6" w:rsidP="005D15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t xml:space="preserve">Por efeito da radiação recebida num dado mineral pela presença de isótopos radioativos nos sedimentos circundantes, os átomos libertam eletrões, que são </w:t>
      </w:r>
      <w:proofErr w:type="gramStart"/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t>particular</w:t>
      </w:r>
      <w:proofErr w:type="gramEnd"/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t xml:space="preserve"> com carga elétrica negativa. Estes eletrões estão presos no cristal do mineral, sendo o seu número proporcional à dose de radiação recebida.</w:t>
      </w:r>
    </w:p>
    <w:p w:rsidR="005D15B6" w:rsidRPr="005D15B6" w:rsidRDefault="005D15B6" w:rsidP="005D15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t>Quando aquecemos o mineral, os eletrões libertam-se da malha cristalina e são recapturados pelos átomos, produzindo-se uma emissão (termoluminescência), que é proporcional o número de eletrões recapturados.</w:t>
      </w:r>
    </w:p>
    <w:p w:rsidR="005D15B6" w:rsidRPr="005D15B6" w:rsidRDefault="005D15B6" w:rsidP="005D15B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5D15B6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PT"/>
        </w:rPr>
        <w:t>Desta forma podemos obter uma luz com intensidade variável, que, por sua vez, nos informa da dose de radiação recebida pelo mineral, e assim é possível conhecer o número de anos decorridos desde a última vez que foi submetido aos efeitos de um calor intenso. Esta técnica só é aplicável a minerais que tenham sido expostos à luz solar intensa, como a argila, ou à ação do fogo, como o sílex a as cerâmicas. Por isso deve complementar-se com outras técnicas de datação de fósseis.</w:t>
      </w:r>
    </w:p>
    <w:p w:rsidR="005D15B6" w:rsidRPr="005D15B6" w:rsidRDefault="005D15B6" w:rsidP="005D15B6">
      <w:pPr>
        <w:jc w:val="both"/>
        <w:rPr>
          <w:rFonts w:ascii="Arial" w:hAnsi="Arial" w:cs="Arial"/>
          <w:sz w:val="24"/>
          <w:szCs w:val="24"/>
        </w:rPr>
      </w:pPr>
    </w:p>
    <w:sectPr w:rsidR="005D15B6" w:rsidRPr="005D1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80184"/>
    <w:multiLevelType w:val="multilevel"/>
    <w:tmpl w:val="8C7E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C631C"/>
    <w:multiLevelType w:val="multilevel"/>
    <w:tmpl w:val="EFB0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B6"/>
    <w:rsid w:val="000A0784"/>
    <w:rsid w:val="005D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4D98"/>
  <w15:chartTrackingRefBased/>
  <w15:docId w15:val="{6E54D75A-B742-4646-85DE-E15CB577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5D1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5D1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5D15B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Forte">
    <w:name w:val="Strong"/>
    <w:basedOn w:val="Tipodeletrapredefinidodopargrafo"/>
    <w:uiPriority w:val="22"/>
    <w:qFormat/>
    <w:rsid w:val="005D15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1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D15B6"/>
    <w:rPr>
      <w:color w:val="0000FF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D1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ntetitulo">
    <w:name w:val="antetitulo"/>
    <w:basedOn w:val="Tipodeletrapredefinidodopargrafo"/>
    <w:rsid w:val="005D15B6"/>
  </w:style>
  <w:style w:type="character" w:customStyle="1" w:styleId="texto">
    <w:name w:val="texto"/>
    <w:basedOn w:val="Tipodeletrapredefinidodopargrafo"/>
    <w:rsid w:val="005D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ducts.pcc.eu/pt/academy/gordur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ducts.pcc.eu/pt/academy/aminoacido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ducts.pcc.eu/pt/akademia/kategoria/quimica-organica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ducts.pcc.eu/pt/blog/peroxido-de-hidrogenio-uma-substancia-com-muitas-aplicaco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ducts.pcc.eu/pt/akademia/kategoria/quimica-inorganica-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1611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2025-02-05T19:39:00Z</dcterms:created>
  <dcterms:modified xsi:type="dcterms:W3CDTF">2025-02-05T19:45:00Z</dcterms:modified>
</cp:coreProperties>
</file>