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mpyf7ao7592" w:id="0"/>
      <w:bookmarkEnd w:id="0"/>
      <w:r w:rsidDel="00000000" w:rsidR="00000000" w:rsidRPr="00000000">
        <w:rPr>
          <w:rtl w:val="0"/>
        </w:rPr>
        <w:t xml:space="preserve">Directiva de Seguridad y Estrategia: Agentes de IA y la Evolución de la Ingeniería de Contexto (2026)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e90x7wmc3hj2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Hacia finales de 2026, el panorama de la inteligencia artificial corporativa se definirá por la transición de simples chatbots a  </w:t>
      </w:r>
      <w:r w:rsidDel="00000000" w:rsidR="00000000" w:rsidRPr="00000000">
        <w:rPr>
          <w:b w:val="1"/>
          <w:bCs w:val="1"/>
          <w:rtl w:val="0"/>
        </w:rPr>
        <w:t xml:space="preserve">agentes autónomos</w:t>
      </w:r>
      <w:r w:rsidDel="00000000" w:rsidR="00000000" w:rsidRPr="00000000">
        <w:rPr>
          <w:rtl w:val="0"/>
        </w:rPr>
        <w:t xml:space="preserve">  con capacidad de razonamiento, persistencia y acceso a herramientas. Se estima que el  </w:t>
      </w:r>
      <w:r w:rsidDel="00000000" w:rsidR="00000000" w:rsidRPr="00000000">
        <w:rPr>
          <w:b w:val="1"/>
          <w:bCs w:val="1"/>
          <w:rtl w:val="0"/>
        </w:rPr>
        <w:t xml:space="preserve">40% de las aplicaciones empresariales</w:t>
      </w:r>
      <w:r w:rsidDel="00000000" w:rsidR="00000000" w:rsidRPr="00000000">
        <w:rPr>
          <w:rtl w:val="0"/>
        </w:rPr>
        <w:t xml:space="preserve">  incluirán agentes de IA para finales de año, frente a menos del 5% en 2025. Sin embargo, esta adopción masiva ocurre en medio de una brecha de seguridad crítica: el 65% de las organizaciones reportaron incidentes relacionados con agentes en el último año.Los hallazgos principales de este análisis subrayan tres pilares estratégicos: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Invalidez de los Modelos de Amenazas Tradicionales:</w:t>
      </w:r>
      <w:r w:rsidDel="00000000" w:rsidR="00000000" w:rsidRPr="00000000">
        <w:rPr>
          <w:rtl w:val="0"/>
        </w:rPr>
        <w:t xml:space="preserve">  Los agentes de IA colapsan la frontera entre instrucciones y datos, lo que hace que la inyección de  </w:t>
      </w:r>
      <w:r w:rsidDel="00000000" w:rsidR="00000000" w:rsidRPr="00000000">
        <w:rPr>
          <w:i w:val="1"/>
          <w:iCs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  sea una amenaza persistente e inevitable.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 "Prompt Engineering" al "Context Engineering":</w:t>
      </w:r>
      <w:r w:rsidDel="00000000" w:rsidR="00000000" w:rsidRPr="00000000">
        <w:rPr>
          <w:rtl w:val="0"/>
        </w:rPr>
        <w:t xml:space="preserve">  La ingeniería de  </w:t>
      </w:r>
      <w:r w:rsidDel="00000000" w:rsidR="00000000" w:rsidRPr="00000000">
        <w:rPr>
          <w:i w:val="1"/>
          <w:iCs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  manual está siendo superada por la ingeniería de contexto sistemática. Gartner predice que para 2028, el 80% de las herramientas de IA integrarán funciones de ingeniería de contexto para gestionar metadatos gobernados.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Primacía de la Contención:</w:t>
      </w:r>
      <w:r w:rsidDel="00000000" w:rsidR="00000000" w:rsidRPr="00000000">
        <w:rPr>
          <w:rtl w:val="0"/>
        </w:rPr>
        <w:t xml:space="preserve">  Ante la imposibilidad de detener todas las inyecciones, la estrategia debe centrarse en el  </w:t>
      </w:r>
      <w:r w:rsidDel="00000000" w:rsidR="00000000" w:rsidRPr="00000000">
        <w:rPr>
          <w:b w:val="1"/>
          <w:bCs w:val="1"/>
          <w:rtl w:val="0"/>
        </w:rPr>
        <w:t xml:space="preserve">privilegio mínimo</w:t>
      </w:r>
      <w:r w:rsidDel="00000000" w:rsidR="00000000" w:rsidRPr="00000000">
        <w:rPr>
          <w:rtl w:val="0"/>
        </w:rPr>
        <w:t xml:space="preserve">  y la  </w:t>
      </w:r>
      <w:r w:rsidDel="00000000" w:rsidR="00000000" w:rsidRPr="00000000">
        <w:rPr>
          <w:b w:val="1"/>
          <w:bCs w:val="1"/>
          <w:rtl w:val="0"/>
        </w:rPr>
        <w:t xml:space="preserve">contención (sandboxing)</w:t>
      </w:r>
      <w:r w:rsidDel="00000000" w:rsidR="00000000" w:rsidRPr="00000000">
        <w:rPr>
          <w:rtl w:val="0"/>
        </w:rPr>
        <w:t xml:space="preserve"> . La identidad de los agentes debe gestionarse como Identidades No Humanas (NHI) con credenciales efímeras y de corto plazo.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nlzx64fcw7x6" w:id="2"/>
      <w:bookmarkEnd w:id="2"/>
      <w:r w:rsidDel="00000000" w:rsidR="00000000" w:rsidRPr="00000000">
        <w:rPr>
          <w:rtl w:val="0"/>
        </w:rPr>
        <w:t xml:space="preserve">1. Taxonomía de Riesgos de Agentes IA (OWASP ASI 2026)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evolución de los riesgos ha llevado a la creación del  </w:t>
      </w:r>
      <w:r w:rsidDel="00000000" w:rsidR="00000000" w:rsidRPr="00000000">
        <w:rPr>
          <w:b w:val="1"/>
          <w:bCs w:val="1"/>
          <w:rtl w:val="0"/>
        </w:rPr>
        <w:t xml:space="preserve">OWASP Top 10 para Aplicaciones Agénticas 2026 (ASI01-ASI10)</w:t>
      </w:r>
      <w:r w:rsidDel="00000000" w:rsidR="00000000" w:rsidRPr="00000000">
        <w:rPr>
          <w:rtl w:val="0"/>
        </w:rPr>
        <w:t xml:space="preserve"> . A diferencia de las vulnerabilidades de modelos de lenguaje (LLM) tradicionales, estas se centran en la autonomía y el acceso a herramientas.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rp8b4b2vbal0" w:id="3"/>
      <w:bookmarkEnd w:id="3"/>
      <w:r w:rsidDel="00000000" w:rsidR="00000000" w:rsidRPr="00000000">
        <w:rPr>
          <w:rtl w:val="0"/>
        </w:rPr>
        <w:t xml:space="preserve">Principales Riesgos Identificados: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ASI01: Secuestro de Objetivos del Agente (Agent Goal Hijack):</w:t>
      </w:r>
      <w:r w:rsidDel="00000000" w:rsidR="00000000" w:rsidRPr="00000000">
        <w:rPr>
          <w:rtl w:val="0"/>
        </w:rPr>
        <w:t xml:space="preserve">  Instrucciones ocultas que alteran el camino de decisión del agente, convirtiéndolo en un motor de exfiltración silencioso.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ASI02: Uso Indebido de Herramientas:</w:t>
      </w:r>
      <w:r w:rsidDel="00000000" w:rsidR="00000000" w:rsidRPr="00000000">
        <w:rPr>
          <w:rtl w:val="0"/>
        </w:rPr>
        <w:t xml:space="preserve">  Patrón de "ayudante confundido" donde el agente utiliza herramientas legítimas para generar resultados destructivos.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ASI03: Abuso de Identidad y Privilegios:</w:t>
      </w:r>
      <w:r w:rsidDel="00000000" w:rsidR="00000000" w:rsidRPr="00000000">
        <w:rPr>
          <w:rtl w:val="0"/>
        </w:rPr>
        <w:t xml:space="preserve">  Uso de credenciales filtradas o identidades degradadas para operar más allá del alcance previsto.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ASI04: Vulnerabilidades en la Cadena de Suministro Agéntica:</w:t>
      </w:r>
      <w:r w:rsidDel="00000000" w:rsidR="00000000" w:rsidRPr="00000000">
        <w:rPr>
          <w:rtl w:val="0"/>
        </w:rPr>
        <w:t xml:space="preserve">  Envenenamiento de ecosistemas de tiempo de ejecución como el  </w:t>
      </w:r>
      <w:r w:rsidDel="00000000" w:rsidR="00000000" w:rsidRPr="00000000">
        <w:rPr>
          <w:i w:val="1"/>
          <w:iCs w:val="1"/>
          <w:rtl w:val="0"/>
        </w:rPr>
        <w:t xml:space="preserve">Model Context Protocol</w:t>
      </w:r>
      <w:r w:rsidDel="00000000" w:rsidR="00000000" w:rsidRPr="00000000">
        <w:rPr>
          <w:rtl w:val="0"/>
        </w:rPr>
        <w:t xml:space="preserve">  (MCP).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ASI06: Envenenamiento de Memoria y Contexto:</w:t>
      </w:r>
      <w:r w:rsidDel="00000000" w:rsidR="00000000" w:rsidRPr="00000000">
        <w:rPr>
          <w:rtl w:val="0"/>
        </w:rPr>
        <w:t xml:space="preserve">  Manipulación de la memoria a largo plazo que altera el comportamiento del agente en sesiones futuras.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i2ctiik7acic" w:id="4"/>
      <w:bookmarkEnd w:id="4"/>
      <w:r w:rsidDel="00000000" w:rsidR="00000000" w:rsidRPr="00000000">
        <w:rPr>
          <w:rtl w:val="0"/>
        </w:rPr>
        <w:t xml:space="preserve">2. El Colapso del Modelo de Amenazas: Inyección y Memoria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seguridad de los agentes enfrenta un desafío estructural: el modelo procesa instrucciones y datos en el mismo canal. Cualquier texto ingerido (un correo, un documento de RAG o una página web) se convierte en una instrucción potencial.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v6mk14xtj1f" w:id="5"/>
      <w:bookmarkEnd w:id="5"/>
      <w:r w:rsidDel="00000000" w:rsidR="00000000" w:rsidRPr="00000000">
        <w:rPr>
          <w:rtl w:val="0"/>
        </w:rPr>
        <w:t xml:space="preserve">Envenenamiento de Memoria (T1 / ASI06)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 considerado más peligroso que la inyección directa porque desacopla el ataque de su ejecución: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Inyección:</w:t>
      </w:r>
      <w:r w:rsidDel="00000000" w:rsidR="00000000" w:rsidRPr="00000000">
        <w:rPr>
          <w:rtl w:val="0"/>
        </w:rPr>
        <w:t xml:space="preserve">  Contenido malicioso ingresa vía documentos o correos.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 Las instrucciones se guardan en la memoria a largo plazo; el agente no distingue entre contexto aprendido y contenido plantado.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Ejecución:</w:t>
      </w:r>
      <w:r w:rsidDel="00000000" w:rsidR="00000000" w:rsidRPr="00000000">
        <w:rPr>
          <w:rtl w:val="0"/>
        </w:rPr>
        <w:t xml:space="preserve">  Una consulta futura, no relacionada, activa la instrucción envenenada.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Caso de estudio:</w:t>
      </w:r>
      <w:r w:rsidDel="00000000" w:rsidR="00000000" w:rsidRPr="00000000">
        <w:rPr>
          <w:rtl w:val="0"/>
        </w:rPr>
        <w:t xml:space="preserve">  El ataque  </w:t>
      </w:r>
      <w:r w:rsidDel="00000000" w:rsidR="00000000" w:rsidRPr="00000000">
        <w:rPr>
          <w:i w:val="1"/>
          <w:iCs w:val="1"/>
          <w:rtl w:val="0"/>
        </w:rPr>
        <w:t xml:space="preserve">MINJA</w:t>
      </w:r>
      <w:r w:rsidDel="00000000" w:rsidR="00000000" w:rsidRPr="00000000">
        <w:rPr>
          <w:rtl w:val="0"/>
        </w:rPr>
        <w:t xml:space="preserve">  (NeurIPS 2025) logró un  </w:t>
      </w:r>
      <w:r w:rsidDel="00000000" w:rsidR="00000000" w:rsidRPr="00000000">
        <w:rPr>
          <w:b w:val="1"/>
          <w:bCs w:val="1"/>
          <w:rtl w:val="0"/>
        </w:rPr>
        <w:t xml:space="preserve">95% de éxito en la inyección</w:t>
      </w:r>
      <w:r w:rsidDel="00000000" w:rsidR="00000000" w:rsidRPr="00000000">
        <w:rPr>
          <w:rtl w:val="0"/>
        </w:rPr>
        <w:t xml:space="preserve">  mediante interacciones de solo consulta.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tvpd7ry9w0i6" w:id="6"/>
      <w:bookmarkEnd w:id="6"/>
      <w:r w:rsidDel="00000000" w:rsidR="00000000" w:rsidRPr="00000000">
        <w:rPr>
          <w:rtl w:val="0"/>
        </w:rPr>
        <w:t xml:space="preserve">Incidentes Reales Documentados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Nombre,Mecanismo,Gravedad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EchoLeak,"Inyección indirecta, ""zero-click"" en MS Copilot",CVSS 9.3 (Crítico)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ShadowLeak,Instrucciones ocultas en HTML de correos para exfiltración,100% de éxito en pruebas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Gemini Memory Attack,Instrucciones condicionales activadas por palabras comunes,Evade protecciones de tiempo de ejecución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tc43i3ce8hb3" w:id="7"/>
      <w:bookmarkEnd w:id="7"/>
      <w:r w:rsidDel="00000000" w:rsidR="00000000" w:rsidRPr="00000000">
        <w:rPr>
          <w:rtl w:val="0"/>
        </w:rPr>
        <w:t xml:space="preserve">3. Agencia Excesiva: El Riesgo Definitorio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riesgo de  </w:t>
      </w:r>
      <w:r w:rsidDel="00000000" w:rsidR="00000000" w:rsidRPr="00000000">
        <w:rPr>
          <w:b w:val="1"/>
          <w:bCs w:val="1"/>
          <w:rtl w:val="0"/>
        </w:rPr>
        <w:t xml:space="preserve">Agencia Excesiva (LLM06:2025)</w:t>
      </w:r>
      <w:r w:rsidDel="00000000" w:rsidR="00000000" w:rsidRPr="00000000">
        <w:rPr>
          <w:rtl w:val="0"/>
        </w:rPr>
        <w:t xml:space="preserve">  es la configuración de máximo peligro, causada por tres factores raíz: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Funcionalidad Excesiva:</w:t>
      </w:r>
      <w:r w:rsidDel="00000000" w:rsidR="00000000" w:rsidRPr="00000000">
        <w:rPr>
          <w:rtl w:val="0"/>
        </w:rPr>
        <w:t xml:space="preserve">  Herramientas con capacidades que exceden la necesidad de la tarea (ej. capacidad de eliminar cuando solo se requiere leer).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Permisos Excesivos:</w:t>
      </w:r>
      <w:r w:rsidDel="00000000" w:rsidR="00000000" w:rsidRPr="00000000">
        <w:rPr>
          <w:rtl w:val="0"/>
        </w:rPr>
        <w:t xml:space="preserve">  Credenciales con privilegios amplios en sistemas  </w:t>
      </w:r>
      <w:r w:rsidDel="00000000" w:rsidR="00000000" w:rsidRPr="00000000">
        <w:rPr>
          <w:i w:val="1"/>
          <w:iCs w:val="1"/>
          <w:rtl w:val="0"/>
        </w:rPr>
        <w:t xml:space="preserve">downstream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Autonomía Excesiva:</w:t>
      </w:r>
      <w:r w:rsidDel="00000000" w:rsidR="00000000" w:rsidRPr="00000000">
        <w:rPr>
          <w:rtl w:val="0"/>
        </w:rPr>
        <w:t xml:space="preserve">  Acciones de alto impacto que proceden sin verificación humana.</w:t>
      </w:r>
      <w:r w:rsidDel="00000000" w:rsidR="00000000" w:rsidRPr="00000000">
        <w:rPr>
          <w:b w:val="1"/>
          <w:bCs w:val="1"/>
          <w:rtl w:val="0"/>
        </w:rPr>
        <w:t xml:space="preserve">La Cadena de Ataque Agéntica:</w:t>
      </w:r>
      <w:r w:rsidDel="00000000" w:rsidR="00000000" w:rsidRPr="00000000">
        <w:rPr>
          <w:rtl w:val="0"/>
        </w:rPr>
        <w:t xml:space="preserve">  Inyección de prompt indirecta (LLM01) -&gt; Agencia excesiva (LLM06) -&gt; Manejo inadecuado de salida (LLM05).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jioe1pb1i4wq" w:id="8"/>
      <w:bookmarkEnd w:id="8"/>
      <w:r w:rsidDel="00000000" w:rsidR="00000000" w:rsidRPr="00000000">
        <w:rPr>
          <w:rtl w:val="0"/>
        </w:rPr>
        <w:t xml:space="preserve">4. Ingeniería de Contexto vs. Ingeniería de Prompts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sector corporativo está transitando de la artesanía de los  </w:t>
      </w:r>
      <w:r w:rsidDel="00000000" w:rsidR="00000000" w:rsidRPr="00000000">
        <w:rPr>
          <w:i w:val="1"/>
          <w:iCs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  a la infraestructura sistemática de contexto.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hoh4cp7d0gs3" w:id="9"/>
      <w:bookmarkEnd w:id="9"/>
      <w:r w:rsidDel="00000000" w:rsidR="00000000" w:rsidRPr="00000000">
        <w:rPr>
          <w:rtl w:val="0"/>
        </w:rPr>
        <w:t xml:space="preserve">Limitaciones de la Ingeniería de Prompts Manual: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Fragilidad:</w:t>
      </w:r>
      <w:r w:rsidDel="00000000" w:rsidR="00000000" w:rsidRPr="00000000">
        <w:rPr>
          <w:rtl w:val="0"/>
        </w:rPr>
        <w:t xml:space="preserve">  Los  </w:t>
      </w:r>
      <w:r w:rsidDel="00000000" w:rsidR="00000000" w:rsidRPr="00000000">
        <w:rPr>
          <w:i w:val="1"/>
          <w:iCs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  no versionados rompen automatizaciones cuando cambian las definiciones de negocio.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Deuda de Mantenimiento:</w:t>
      </w:r>
      <w:r w:rsidDel="00000000" w:rsidR="00000000" w:rsidRPr="00000000">
        <w:rPr>
          <w:rtl w:val="0"/>
        </w:rPr>
        <w:t xml:space="preserve">  El costo crece linealmente con los casos de uso; gestionar 500  </w:t>
      </w:r>
      <w:r w:rsidDel="00000000" w:rsidR="00000000" w:rsidRPr="00000000">
        <w:rPr>
          <w:i w:val="1"/>
          <w:iCs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  manualmente es ingobernable.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Inconsistencia:</w:t>
      </w:r>
      <w:r w:rsidDel="00000000" w:rsidR="00000000" w:rsidRPr="00000000">
        <w:rPr>
          <w:rtl w:val="0"/>
        </w:rPr>
        <w:t xml:space="preserve">  La falta de infraestructura centralizada genera respuestas divergentes entre equipos.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dentrwudmm9j" w:id="10"/>
      <w:bookmarkEnd w:id="10"/>
      <w:r w:rsidDel="00000000" w:rsidR="00000000" w:rsidRPr="00000000">
        <w:rPr>
          <w:rtl w:val="0"/>
        </w:rPr>
        <w:t xml:space="preserve">Ingeniería de Contexto (Context Engineering):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Definida por Gartner como la disciplina que reemplaza las entradas escritas por humanos con  </w:t>
      </w:r>
      <w:r w:rsidDel="00000000" w:rsidR="00000000" w:rsidRPr="00000000">
        <w:rPr>
          <w:b w:val="1"/>
          <w:bCs w:val="1"/>
          <w:rtl w:val="0"/>
        </w:rPr>
        <w:t xml:space="preserve">infraestructura de metadatos gobernados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Ensamblaje Automático:</w:t>
      </w:r>
      <w:r w:rsidDel="00000000" w:rsidR="00000000" w:rsidRPr="00000000">
        <w:rPr>
          <w:rtl w:val="0"/>
        </w:rPr>
        <w:t xml:space="preserve">  Las definiciones de negocio se inyectan desde un glosario gobernado.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Linaje de Datos:</w:t>
      </w:r>
      <w:r w:rsidDel="00000000" w:rsidR="00000000" w:rsidRPr="00000000">
        <w:rPr>
          <w:rtl w:val="0"/>
        </w:rPr>
        <w:t xml:space="preserve">  Permite que el agente sepa si un dato es confiable antes de usarlo.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Arquitectura de "Planificar-luego-Ejecutar":</w:t>
      </w:r>
      <w:r w:rsidDel="00000000" w:rsidR="00000000" w:rsidRPr="00000000">
        <w:rPr>
          <w:rtl w:val="0"/>
        </w:rPr>
        <w:t xml:space="preserve">  Separa la deliberación de la acción para mayor seguridad.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6g89r0plt74d" w:id="11"/>
      <w:bookmarkEnd w:id="11"/>
      <w:r w:rsidDel="00000000" w:rsidR="00000000" w:rsidRPr="00000000">
        <w:rPr>
          <w:rtl w:val="0"/>
        </w:rPr>
        <w:t xml:space="preserve">5. Gestión de Identidades No Humanas (NHI)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 2026, la escala de las identidades de máquinas es el principal desafío de acceso. Se estima una proporción de  </w:t>
      </w:r>
      <w:r w:rsidDel="00000000" w:rsidR="00000000" w:rsidRPr="00000000">
        <w:rPr>
          <w:b w:val="1"/>
          <w:bCs w:val="1"/>
          <w:rtl w:val="0"/>
        </w:rPr>
        <w:t xml:space="preserve">109 identidades de máquinas por cada humano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lajr9jt6nsj" w:id="12"/>
      <w:bookmarkEnd w:id="12"/>
      <w:r w:rsidDel="00000000" w:rsidR="00000000" w:rsidRPr="00000000">
        <w:rPr>
          <w:rtl w:val="0"/>
        </w:rPr>
        <w:t xml:space="preserve">Controles Críticos de NHI: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Identidad por Agente:</w:t>
      </w:r>
      <w:r w:rsidDel="00000000" w:rsidR="00000000" w:rsidRPr="00000000">
        <w:rPr>
          <w:rtl w:val="0"/>
        </w:rPr>
        <w:t xml:space="preserve">  Cada agente debe autenticarse como un principal distinto; prohibido el uso de sesiones de usuario compartidas.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Tokens de Corta Duración:</w:t>
      </w:r>
      <w:r w:rsidDel="00000000" w:rsidR="00000000" w:rsidRPr="00000000">
        <w:rPr>
          <w:rtl w:val="0"/>
        </w:rPr>
        <w:t xml:space="preserve">  Emisión "Just-in-Time" (JIT) con validez de minutos, retirados al completar la tarea.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Autoridad Efectiva:</w:t>
      </w:r>
      <w:r w:rsidDel="00000000" w:rsidR="00000000" w:rsidRPr="00000000">
        <w:rPr>
          <w:rtl w:val="0"/>
        </w:rPr>
        <w:t xml:space="preserve">  Debe ser la  </w:t>
      </w:r>
      <w:r w:rsidDel="00000000" w:rsidR="00000000" w:rsidRPr="00000000">
        <w:rPr>
          <w:b w:val="1"/>
          <w:bCs w:val="1"/>
          <w:rtl w:val="0"/>
        </w:rPr>
        <w:t xml:space="preserve">intersección</w:t>
      </w:r>
      <w:r w:rsidDel="00000000" w:rsidR="00000000" w:rsidRPr="00000000">
        <w:rPr>
          <w:rtl w:val="0"/>
        </w:rPr>
        <w:t xml:space="preserve">  de los permisos del agente y del usuario, nunca la unión (defensa contra el ayudante confundido).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sobrxzl4pk1q" w:id="13"/>
      <w:bookmarkEnd w:id="13"/>
      <w:r w:rsidDel="00000000" w:rsidR="00000000" w:rsidRPr="00000000">
        <w:rPr>
          <w:rtl w:val="0"/>
        </w:rPr>
        <w:t xml:space="preserve">6. Marco Regulatorio y Auditoría (EU AI Act)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Artículo 12 de la Ley de IA de la UE establece requisitos estrictos para los sistemas de IA de alto riesgo.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Registro Automático de Eventos:</w:t>
      </w:r>
      <w:r w:rsidDel="00000000" w:rsidR="00000000" w:rsidRPr="00000000">
        <w:rPr>
          <w:rtl w:val="0"/>
        </w:rPr>
        <w:t xml:space="preserve">  Los registros (logs) deben ser técnicos y automáticos durante toda la vida útil del sistema.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Retención:</w:t>
      </w:r>
      <w:r w:rsidDel="00000000" w:rsidR="00000000" w:rsidRPr="00000000">
        <w:rPr>
          <w:rtl w:val="0"/>
        </w:rPr>
        <w:t xml:space="preserve">  Los desplegadores deben conservar los registros generados automáticamente por un  </w:t>
      </w:r>
      <w:r w:rsidDel="00000000" w:rsidR="00000000" w:rsidRPr="00000000">
        <w:rPr>
          <w:b w:val="1"/>
          <w:bCs w:val="1"/>
          <w:rtl w:val="0"/>
        </w:rPr>
        <w:t xml:space="preserve">mínimo de 6 meses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Penalizaciones:</w:t>
      </w:r>
      <w:r w:rsidDel="00000000" w:rsidR="00000000" w:rsidRPr="00000000">
        <w:rPr>
          <w:rtl w:val="0"/>
        </w:rPr>
        <w:t xml:space="preserve">  El incumplimiento puede resultar en multas de hasta  </w:t>
      </w:r>
      <w:r w:rsidDel="00000000" w:rsidR="00000000" w:rsidRPr="00000000">
        <w:rPr>
          <w:b w:val="1"/>
          <w:bCs w:val="1"/>
          <w:rtl w:val="0"/>
        </w:rPr>
        <w:t xml:space="preserve">15 millones de euros o el 3% de la facturación anual global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kxpf114ffcqq" w:id="14"/>
      <w:bookmarkEnd w:id="14"/>
      <w:r w:rsidDel="00000000" w:rsidR="00000000" w:rsidRPr="00000000">
        <w:rPr>
          <w:rtl w:val="0"/>
        </w:rPr>
        <w:t xml:space="preserve">Propiedades de los Registros Forenses: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 satisfacer auditorías (SOC 2, ISO 27001), los registros deben ser: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Solo adición (Append-only):</w:t>
      </w:r>
      <w:r w:rsidDel="00000000" w:rsidR="00000000" w:rsidRPr="00000000">
        <w:rPr>
          <w:rtl w:val="0"/>
        </w:rPr>
        <w:t xml:space="preserve">  Almacenamiento inmutable.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 de manipulación:</w:t>
      </w:r>
      <w:r w:rsidDel="00000000" w:rsidR="00000000" w:rsidRPr="00000000">
        <w:rPr>
          <w:rtl w:val="0"/>
        </w:rPr>
        <w:t xml:space="preserve">  Cadenas de 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 SHA-256 sobre eventos JSON.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Verificables independientemente:</w:t>
      </w:r>
      <w:r w:rsidDel="00000000" w:rsidR="00000000" w:rsidRPr="00000000">
        <w:rPr>
          <w:rtl w:val="0"/>
        </w:rPr>
        <w:t xml:space="preserve">  Uso de árboles de Merkle para pruebas de inclusión.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s3sx7xwp70ae" w:id="15"/>
      <w:bookmarkEnd w:id="15"/>
      <w:r w:rsidDel="00000000" w:rsidR="00000000" w:rsidRPr="00000000">
        <w:rPr>
          <w:rtl w:val="0"/>
        </w:rPr>
        <w:t xml:space="preserve">7. Estrategia de Defensa en Profundidad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x5qzii56sd89" w:id="16"/>
      <w:bookmarkEnd w:id="16"/>
      <w:r w:rsidDel="00000000" w:rsidR="00000000" w:rsidRPr="00000000">
        <w:rPr>
          <w:rtl w:val="0"/>
        </w:rPr>
        <w:t xml:space="preserve">Contención Mediante "Air-Gapping"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 defensa más sólida es eliminar el canal de egreso. El despliegue  </w:t>
      </w:r>
      <w:r w:rsidDel="00000000" w:rsidR="00000000" w:rsidRPr="00000000">
        <w:rPr>
          <w:i w:val="1"/>
          <w:iCs w:val="1"/>
          <w:rtl w:val="0"/>
        </w:rPr>
        <w:t xml:space="preserve">on-premise</w:t>
      </w:r>
      <w:r w:rsidDel="00000000" w:rsidR="00000000" w:rsidRPr="00000000">
        <w:rPr>
          <w:rtl w:val="0"/>
        </w:rPr>
        <w:t xml:space="preserve">  o  </w:t>
      </w:r>
      <w:r w:rsidDel="00000000" w:rsidR="00000000" w:rsidRPr="00000000">
        <w:rPr>
          <w:i w:val="1"/>
          <w:iCs w:val="1"/>
          <w:rtl w:val="0"/>
        </w:rPr>
        <w:t xml:space="preserve">air-gapped</w:t>
      </w:r>
      <w:r w:rsidDel="00000000" w:rsidR="00000000" w:rsidRPr="00000000">
        <w:rPr>
          <w:rtl w:val="0"/>
        </w:rPr>
        <w:t xml:space="preserve">  neutraliza ataques como EchoLeak al impedir conexiones externas, resolución de DNS o sincronización de NTP.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7g5xxlyabg2x" w:id="17"/>
      <w:bookmarkEnd w:id="17"/>
      <w:r w:rsidDel="00000000" w:rsidR="00000000" w:rsidRPr="00000000">
        <w:rPr>
          <w:rtl w:val="0"/>
        </w:rPr>
        <w:t xml:space="preserve">Lista de Verificación para CISO (Resumen de Dominios)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Dominio,Acción Prioritaria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Inventario,"Mantener un inventario vivo de cada agente, incluyendo despliegues ""shadow""."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Identidad,Asignar identidades NHI gestionadas; eliminar llaves API de larga duración.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Herramientas,Minimizar herramientas; ejecutar siempre en el contexto del usuario (OAuth).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Defensa,Sandboxing  de ejecución (microVMs como Firecracker); interruptor de apagado (Kill-switch).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Datos,Verificación de linaje y limpieza de instrucciones ocultas en documentos ingeridos.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Gobernanza,Clasificar agentes por niveles de autonomía; requerir aprobación humana para acciones irreversibles.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Nota Final:</w:t>
      </w:r>
      <w:r w:rsidDel="00000000" w:rsidR="00000000" w:rsidRPr="00000000">
        <w:rPr>
          <w:rtl w:val="0"/>
        </w:rPr>
        <w:t xml:space="preserve">  Como establece  </w:t>
      </w:r>
      <w:r w:rsidDel="00000000" w:rsidR="00000000" w:rsidRPr="00000000">
        <w:rPr>
          <w:i w:val="1"/>
          <w:iCs w:val="1"/>
          <w:rtl w:val="0"/>
        </w:rPr>
        <w:t xml:space="preserve">The AI Strategy Blueprint</w:t>
      </w:r>
      <w:r w:rsidDel="00000000" w:rsidR="00000000" w:rsidRPr="00000000">
        <w:rPr>
          <w:rtl w:val="0"/>
        </w:rPr>
        <w:t xml:space="preserve"> , la seguridad de los agentes no es un paso opcional, sino un compromiso ejecutivo. El éxito de las iniciativas de IA depende de integrar la gobernanza y la arquitectura de seguridad desde el primer día para evitar que los pilotos se conviertan en pasivos corporativos.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