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n1f6gmu9apw4" w:id="0"/>
      <w:bookmarkEnd w:id="0"/>
      <w:r w:rsidDel="00000000" w:rsidR="00000000" w:rsidRPr="00000000">
        <w:rPr>
          <w:rtl w:val="0"/>
        </w:rPr>
        <w:t xml:space="preserve">Marco de Gobernanza Corporativa: Implementación Segura de Agentes Autónomos (Edición 2026)</w:t>
      </w:r>
    </w:p>
    <w:p w:rsidR="00000000" w:rsidDel="00000000" w:rsidP="00000000" w:rsidRDefault="00000000" w:rsidRPr="00000000" w14:paraId="00000002">
      <w:pPr>
        <w:pStyle w:val="Heading4"/>
        <w:rPr/>
      </w:pPr>
      <w:bookmarkStart w:colFirst="0" w:colLast="0" w:name="_dn26idfgiszt" w:id="1"/>
      <w:bookmarkEnd w:id="1"/>
      <w:r w:rsidDel="00000000" w:rsidR="00000000" w:rsidRPr="00000000">
        <w:rPr>
          <w:rtl w:val="0"/>
        </w:rPr>
        <w:t xml:space="preserve">1. Visión Estratégica y Postura de Seguridad Agéntica</w:t>
      </w:r>
    </w:p>
    <w:p w:rsidR="00000000" w:rsidDel="00000000" w:rsidP="00000000" w:rsidRDefault="00000000" w:rsidRPr="00000000" w14:paraId="00000003">
      <w:pPr>
        <w:rPr/>
      </w:pPr>
      <w:r w:rsidDel="00000000" w:rsidR="00000000" w:rsidRPr="00000000">
        <w:rPr>
          <w:rtl w:val="0"/>
        </w:rPr>
        <w:t xml:space="preserve">Para finales de 2026, se proyecta que el 40% de las aplicaciones empresariales habrán transicionado de simples interfaces de chat a agentes autónomos con capacidad de planificación y ejecución. Como CISO, mi postura es clara: en este nuevo paradigma, la gobernanza no es un centro de costo regulatorio, sino un  </w:t>
      </w:r>
      <w:r w:rsidDel="00000000" w:rsidR="00000000" w:rsidRPr="00000000">
        <w:rPr>
          <w:b w:val="1"/>
          <w:bCs w:val="1"/>
          <w:rtl w:val="0"/>
        </w:rPr>
        <w:t xml:space="preserve">diferenciador estratégico de negocio</w:t>
      </w:r>
      <w:r w:rsidDel="00000000" w:rsidR="00000000" w:rsidRPr="00000000">
        <w:rPr>
          <w:rtl w:val="0"/>
        </w:rPr>
        <w:t xml:space="preserve"> . La capacidad de desplegar agentes que operen de forma segura en entornos de alta confianza permite una escala operativa que la competencia, frenada por el miedo al riesgo, no podrá alcanzar. Sin embargo, debemos abandonar la ilusión de la prevención total. En un ecosistema donde el contenido externo es la instrucción (prompt injection), el compromiso de un agente no es una posibilidad, sino una inevitabilidad arquitectónica. El objetivo real es la contención del radio de impacto ( </w:t>
      </w:r>
      <w:r w:rsidDel="00000000" w:rsidR="00000000" w:rsidRPr="00000000">
        <w:rPr>
          <w:i w:val="1"/>
          <w:iCs w:val="1"/>
          <w:rtl w:val="0"/>
        </w:rPr>
        <w:t xml:space="preserve">blast radius</w:t>
      </w:r>
      <w:r w:rsidDel="00000000" w:rsidR="00000000" w:rsidRPr="00000000">
        <w:rPr>
          <w:rtl w:val="0"/>
        </w:rPr>
        <w:t xml:space="preserve"> ).El modelo de amenaza tradicional ha colapsado. La  </w:t>
      </w:r>
      <w:r w:rsidDel="00000000" w:rsidR="00000000" w:rsidRPr="00000000">
        <w:rPr>
          <w:b w:val="1"/>
          <w:bCs w:val="1"/>
          <w:rtl w:val="0"/>
        </w:rPr>
        <w:t xml:space="preserve">autonomía</w:t>
      </w:r>
      <w:r w:rsidDel="00000000" w:rsidR="00000000" w:rsidRPr="00000000">
        <w:rPr>
          <w:rtl w:val="0"/>
        </w:rPr>
        <w:t xml:space="preserve"> , la  </w:t>
      </w:r>
      <w:r w:rsidDel="00000000" w:rsidR="00000000" w:rsidRPr="00000000">
        <w:rPr>
          <w:b w:val="1"/>
          <w:bCs w:val="1"/>
          <w:rtl w:val="0"/>
        </w:rPr>
        <w:t xml:space="preserve">persistencia de estado</w:t>
      </w:r>
      <w:r w:rsidDel="00000000" w:rsidR="00000000" w:rsidRPr="00000000">
        <w:rPr>
          <w:rtl w:val="0"/>
        </w:rPr>
        <w:t xml:space="preserve">  (memoria cross-session) y el  </w:t>
      </w:r>
      <w:r w:rsidDel="00000000" w:rsidR="00000000" w:rsidRPr="00000000">
        <w:rPr>
          <w:b w:val="1"/>
          <w:bCs w:val="1"/>
          <w:rtl w:val="0"/>
        </w:rPr>
        <w:t xml:space="preserve">acceso directo a herramientas</w:t>
      </w:r>
      <w:r w:rsidDel="00000000" w:rsidR="00000000" w:rsidRPr="00000000">
        <w:rPr>
          <w:rtl w:val="0"/>
        </w:rPr>
        <w:t xml:space="preserve">  invalidan las asunciones de seguridad perimetral. Incidentes como  </w:t>
      </w:r>
      <w:r w:rsidDel="00000000" w:rsidR="00000000" w:rsidRPr="00000000">
        <w:rPr>
          <w:b w:val="1"/>
          <w:bCs w:val="1"/>
          <w:rtl w:val="0"/>
        </w:rPr>
        <w:t xml:space="preserve">EchoLeak (CVSS 9.3)</w:t>
      </w:r>
      <w:r w:rsidDel="00000000" w:rsidR="00000000" w:rsidRPr="00000000">
        <w:rPr>
          <w:rtl w:val="0"/>
        </w:rPr>
        <w:t xml:space="preserve">  han demostrado que un ataque  </w:t>
      </w:r>
      <w:r w:rsidDel="00000000" w:rsidR="00000000" w:rsidRPr="00000000">
        <w:rPr>
          <w:b w:val="1"/>
          <w:bCs w:val="1"/>
          <w:rtl w:val="0"/>
        </w:rPr>
        <w:t xml:space="preserve">zero-click</w:t>
      </w:r>
      <w:r w:rsidDel="00000000" w:rsidR="00000000" w:rsidRPr="00000000">
        <w:rPr>
          <w:rtl w:val="0"/>
        </w:rPr>
        <w:t xml:space="preserve">  puede secuestrar la intención de un agente mediante un simple correo electrónico, saltándose filtros de IA convencionales. Ya no protegemos datos estáticos; protegemos flujos de ejecución autónomos.Para liderar esta transición, la organización adopta los siguientes  </w:t>
      </w:r>
      <w:r w:rsidDel="00000000" w:rsidR="00000000" w:rsidRPr="00000000">
        <w:rPr>
          <w:b w:val="1"/>
          <w:bCs w:val="1"/>
          <w:rtl w:val="0"/>
        </w:rPr>
        <w:t xml:space="preserve">Siete Compromisos Ejecutivos</w:t>
      </w:r>
      <w:r w:rsidDel="00000000" w:rsidR="00000000" w:rsidRPr="00000000">
        <w:rPr>
          <w:rtl w:val="0"/>
        </w:rPr>
        <w:t xml:space="preserve">  del  </w:t>
      </w:r>
      <w:r w:rsidDel="00000000" w:rsidR="00000000" w:rsidRPr="00000000">
        <w:rPr>
          <w:i w:val="1"/>
          <w:iCs w:val="1"/>
          <w:rtl w:val="0"/>
        </w:rPr>
        <w:t xml:space="preserve">AI Strategy Blueprint</w:t>
      </w:r>
      <w:r w:rsidDel="00000000" w:rsidR="00000000" w:rsidRPr="00000000">
        <w:rPr>
          <w:rtl w:val="0"/>
        </w:rPr>
        <w:t xml:space="preserve"> :</w:t>
      </w:r>
    </w:p>
    <w:p w:rsidR="00000000" w:rsidDel="00000000" w:rsidP="00000000" w:rsidRDefault="00000000" w:rsidRPr="00000000" w14:paraId="00000004">
      <w:pPr>
        <w:numPr>
          <w:ilvl w:val="0"/>
          <w:numId w:val="7"/>
        </w:numPr>
        <w:ind w:left="720" w:hanging="360"/>
        <w:rPr>
          <w:u w:val="none"/>
        </w:rPr>
      </w:pPr>
      <w:r w:rsidDel="00000000" w:rsidR="00000000" w:rsidRPr="00000000">
        <w:rPr>
          <w:b w:val="1"/>
          <w:bCs w:val="1"/>
          <w:rtl w:val="0"/>
        </w:rPr>
        <w:t xml:space="preserve">ROI Basado en Riesgo</w:t>
      </w:r>
      <w:r w:rsidDel="00000000" w:rsidR="00000000" w:rsidRPr="00000000">
        <w:rPr>
          <w:rtl w:val="0"/>
        </w:rPr>
        <w:t xml:space="preserve"> : Priorizar casos de uso donde el valor de la autonomía supere el costo de los controles de contención.</w:t>
      </w:r>
    </w:p>
    <w:p w:rsidR="00000000" w:rsidDel="00000000" w:rsidP="00000000" w:rsidRDefault="00000000" w:rsidRPr="00000000" w14:paraId="00000005">
      <w:pPr>
        <w:numPr>
          <w:ilvl w:val="0"/>
          <w:numId w:val="7"/>
        </w:numPr>
        <w:ind w:left="720" w:hanging="360"/>
        <w:rPr>
          <w:u w:val="none"/>
        </w:rPr>
      </w:pPr>
      <w:r w:rsidDel="00000000" w:rsidR="00000000" w:rsidRPr="00000000">
        <w:rPr>
          <w:b w:val="1"/>
          <w:bCs w:val="1"/>
          <w:rtl w:val="0"/>
        </w:rPr>
        <w:t xml:space="preserve">Arquitectura de Seguridad</w:t>
      </w:r>
      <w:r w:rsidDel="00000000" w:rsidR="00000000" w:rsidRPr="00000000">
        <w:rPr>
          <w:rtl w:val="0"/>
        </w:rPr>
        <w:t xml:space="preserve"> : Diseñar bajo el principio de "Post-Inyección", asumiendo que el razonamiento del agente puede ser comprometido.</w:t>
      </w:r>
    </w:p>
    <w:p w:rsidR="00000000" w:rsidDel="00000000" w:rsidP="00000000" w:rsidRDefault="00000000" w:rsidRPr="00000000" w14:paraId="00000006">
      <w:pPr>
        <w:numPr>
          <w:ilvl w:val="0"/>
          <w:numId w:val="7"/>
        </w:numPr>
        <w:ind w:left="720" w:hanging="360"/>
        <w:rPr>
          <w:u w:val="none"/>
        </w:rPr>
      </w:pPr>
      <w:r w:rsidDel="00000000" w:rsidR="00000000" w:rsidRPr="00000000">
        <w:rPr>
          <w:b w:val="1"/>
          <w:bCs w:val="1"/>
          <w:rtl w:val="0"/>
        </w:rPr>
        <w:t xml:space="preserve">Gobernanza del Ciclo de Vida</w:t>
      </w:r>
      <w:r w:rsidDel="00000000" w:rsidR="00000000" w:rsidRPr="00000000">
        <w:rPr>
          <w:rtl w:val="0"/>
        </w:rPr>
        <w:t xml:space="preserve"> : Mantener un inventario vivo que elimine los "agentes en la sombra" antes de que hereden permisos críticos.</w:t>
      </w:r>
    </w:p>
    <w:p w:rsidR="00000000" w:rsidDel="00000000" w:rsidP="00000000" w:rsidRDefault="00000000" w:rsidRPr="00000000" w14:paraId="00000007">
      <w:pPr>
        <w:numPr>
          <w:ilvl w:val="0"/>
          <w:numId w:val="7"/>
        </w:numPr>
        <w:ind w:left="720" w:hanging="360"/>
        <w:rPr>
          <w:u w:val="none"/>
        </w:rPr>
      </w:pPr>
      <w:r w:rsidDel="00000000" w:rsidR="00000000" w:rsidRPr="00000000">
        <w:rPr>
          <w:b w:val="1"/>
          <w:bCs w:val="1"/>
          <w:rtl w:val="0"/>
        </w:rPr>
        <w:t xml:space="preserve">Identidad Gestionada</w:t>
      </w:r>
      <w:r w:rsidDel="00000000" w:rsidR="00000000" w:rsidRPr="00000000">
        <w:rPr>
          <w:rtl w:val="0"/>
        </w:rPr>
        <w:t xml:space="preserve"> : Tratar cada agente como un ciudadano de identidad único y auditable.</w:t>
      </w:r>
    </w:p>
    <w:p w:rsidR="00000000" w:rsidDel="00000000" w:rsidP="00000000" w:rsidRDefault="00000000" w:rsidRPr="00000000" w14:paraId="00000008">
      <w:pPr>
        <w:numPr>
          <w:ilvl w:val="0"/>
          <w:numId w:val="7"/>
        </w:numPr>
        <w:ind w:left="720" w:hanging="360"/>
        <w:rPr>
          <w:u w:val="none"/>
        </w:rPr>
      </w:pPr>
      <w:r w:rsidDel="00000000" w:rsidR="00000000" w:rsidRPr="00000000">
        <w:rPr>
          <w:b w:val="1"/>
          <w:bCs w:val="1"/>
          <w:rtl w:val="0"/>
        </w:rPr>
        <w:t xml:space="preserve">Transparencia Algorítmica</w:t>
      </w:r>
      <w:r w:rsidDel="00000000" w:rsidR="00000000" w:rsidRPr="00000000">
        <w:rPr>
          <w:rtl w:val="0"/>
        </w:rPr>
        <w:t xml:space="preserve"> : Exigir trazas de razonamiento inalterables para cada acción de alto impacto.</w:t>
      </w:r>
    </w:p>
    <w:p w:rsidR="00000000" w:rsidDel="00000000" w:rsidP="00000000" w:rsidRDefault="00000000" w:rsidRPr="00000000" w14:paraId="00000009">
      <w:pPr>
        <w:numPr>
          <w:ilvl w:val="0"/>
          <w:numId w:val="7"/>
        </w:numPr>
        <w:ind w:left="720" w:hanging="360"/>
        <w:rPr>
          <w:u w:val="none"/>
        </w:rPr>
      </w:pPr>
      <w:r w:rsidDel="00000000" w:rsidR="00000000" w:rsidRPr="00000000">
        <w:rPr>
          <w:b w:val="1"/>
          <w:bCs w:val="1"/>
          <w:rtl w:val="0"/>
        </w:rPr>
        <w:t xml:space="preserve">Alineación Regulatoria</w:t>
      </w:r>
      <w:r w:rsidDel="00000000" w:rsidR="00000000" w:rsidRPr="00000000">
        <w:rPr>
          <w:rtl w:val="0"/>
        </w:rPr>
        <w:t xml:space="preserve"> : Integrar el cumplimiento de la Ley de IA de la UE como un requisito técnico desde el diseño ( </w:t>
      </w:r>
      <w:r w:rsidDel="00000000" w:rsidR="00000000" w:rsidRPr="00000000">
        <w:rPr>
          <w:i w:val="1"/>
          <w:iCs w:val="1"/>
          <w:rtl w:val="0"/>
        </w:rPr>
        <w:t xml:space="preserve">Secure-by-Design</w:t>
      </w:r>
      <w:r w:rsidDel="00000000" w:rsidR="00000000" w:rsidRPr="00000000">
        <w:rPr>
          <w:rtl w:val="0"/>
        </w:rPr>
        <w:t xml:space="preserve"> ).</w:t>
      </w:r>
    </w:p>
    <w:p w:rsidR="00000000" w:rsidDel="00000000" w:rsidP="00000000" w:rsidRDefault="00000000" w:rsidRPr="00000000" w14:paraId="0000000A">
      <w:pPr>
        <w:numPr>
          <w:ilvl w:val="0"/>
          <w:numId w:val="7"/>
        </w:numPr>
        <w:ind w:left="720" w:hanging="360"/>
        <w:rPr>
          <w:u w:val="none"/>
        </w:rPr>
      </w:pPr>
      <w:r w:rsidDel="00000000" w:rsidR="00000000" w:rsidRPr="00000000">
        <w:rPr>
          <w:b w:val="1"/>
          <w:bCs w:val="1"/>
          <w:rtl w:val="0"/>
        </w:rPr>
        <w:t xml:space="preserve">Resiliencia Operativa</w:t>
      </w:r>
      <w:r w:rsidDel="00000000" w:rsidR="00000000" w:rsidRPr="00000000">
        <w:rPr>
          <w:rtl w:val="0"/>
        </w:rPr>
        <w:t xml:space="preserve"> : Implementar interruptores de apagado ( </w:t>
      </w:r>
      <w:r w:rsidDel="00000000" w:rsidR="00000000" w:rsidRPr="00000000">
        <w:rPr>
          <w:i w:val="1"/>
          <w:iCs w:val="1"/>
          <w:rtl w:val="0"/>
        </w:rPr>
        <w:t xml:space="preserve">Kill-Switches</w:t>
      </w:r>
      <w:r w:rsidDel="00000000" w:rsidR="00000000" w:rsidRPr="00000000">
        <w:rPr>
          <w:rtl w:val="0"/>
        </w:rPr>
        <w:t xml:space="preserve"> ) capaces de aislar clústeres de agentes en milisegundos.Esta visión estratégica requiere una taxonomía técnica precisa para comunicar los riesgos a la junta directiva y a los equipos de ingeniería.</w:t>
      </w:r>
    </w:p>
    <w:p w:rsidR="00000000" w:rsidDel="00000000" w:rsidP="00000000" w:rsidRDefault="00000000" w:rsidRPr="00000000" w14:paraId="0000000B">
      <w:pPr>
        <w:pStyle w:val="Heading4"/>
        <w:rPr/>
      </w:pPr>
      <w:bookmarkStart w:colFirst="0" w:colLast="0" w:name="_x0yqdp2fcj6q" w:id="2"/>
      <w:bookmarkEnd w:id="2"/>
      <w:r w:rsidDel="00000000" w:rsidR="00000000" w:rsidRPr="00000000">
        <w:rPr>
          <w:rtl w:val="0"/>
        </w:rPr>
        <w:t xml:space="preserve">2. Taxonomía de Riesgos Agénticos (OWASP ASI 2026)</w:t>
      </w:r>
    </w:p>
    <w:p w:rsidR="00000000" w:rsidDel="00000000" w:rsidP="00000000" w:rsidRDefault="00000000" w:rsidRPr="00000000" w14:paraId="0000000C">
      <w:pPr>
        <w:rPr/>
      </w:pPr>
      <w:r w:rsidDel="00000000" w:rsidR="00000000" w:rsidRPr="00000000">
        <w:rPr>
          <w:rtl w:val="0"/>
        </w:rPr>
        <w:t xml:space="preserve">La comunicación efectiva entre el CISO y la junta directiva depende de un lenguaje de riesgos estandarizado. La taxonomía OWASP ASI 2026 traduce vulnerabilidades técnicas en impactos institucionales, permitiendo que la seguridad se discuta en términos de integridad del negocio y no solo de bits maliciosos.| Código de Riesgo (ASI) | Descripción Ejecutiva | Impacto en el Negocio || ------ | ------ | ------ || </w:t>
      </w:r>
      <w:r w:rsidDel="00000000" w:rsidR="00000000" w:rsidRPr="00000000">
        <w:rPr>
          <w:b w:val="1"/>
          <w:bCs w:val="1"/>
          <w:rtl w:val="0"/>
        </w:rPr>
        <w:t xml:space="preserve">ASI01: Agent Goal Hijack</w:t>
      </w:r>
      <w:r w:rsidDel="00000000" w:rsidR="00000000" w:rsidRPr="00000000">
        <w:rPr>
          <w:rtl w:val="0"/>
        </w:rPr>
        <w:t xml:space="preserve"> | Prompts ocultos alteran los objetivos originales del agente. | Pérdida de control estratégico; el agente actúa como un motor de exfiltración encubierto. || </w:t>
      </w:r>
      <w:r w:rsidDel="00000000" w:rsidR="00000000" w:rsidRPr="00000000">
        <w:rPr>
          <w:b w:val="1"/>
          <w:bCs w:val="1"/>
          <w:rtl w:val="0"/>
        </w:rPr>
        <w:t xml:space="preserve">ASI02: Tool Misuse</w:t>
      </w:r>
      <w:r w:rsidDel="00000000" w:rsidR="00000000" w:rsidRPr="00000000">
        <w:rPr>
          <w:rtl w:val="0"/>
        </w:rPr>
        <w:t xml:space="preserve"> | Manipulación de herramientas legítimas para ejecutar acciones destructivas. | Daño a la integridad de sistemas productivos y pérdida de activos financieros o de datos. || </w:t>
      </w:r>
      <w:r w:rsidDel="00000000" w:rsidR="00000000" w:rsidRPr="00000000">
        <w:rPr>
          <w:b w:val="1"/>
          <w:bCs w:val="1"/>
          <w:rtl w:val="0"/>
        </w:rPr>
        <w:t xml:space="preserve">ASI03: Identity &amp; Privilege Abuse</w:t>
      </w:r>
      <w:r w:rsidDel="00000000" w:rsidR="00000000" w:rsidRPr="00000000">
        <w:rPr>
          <w:rtl w:val="0"/>
        </w:rPr>
        <w:t xml:space="preserve"> | Uso de credenciales filtradas o identidades mal configuradas para actuar fuera de alcance. | Acceso no autorizado a infraestructura crítica; escalada lateral de privilegios automatizada. || </w:t>
      </w:r>
      <w:r w:rsidDel="00000000" w:rsidR="00000000" w:rsidRPr="00000000">
        <w:rPr>
          <w:b w:val="1"/>
          <w:bCs w:val="1"/>
          <w:rtl w:val="0"/>
        </w:rPr>
        <w:t xml:space="preserve">ASI04: Agentic Supply Chain</w:t>
      </w:r>
      <w:r w:rsidDel="00000000" w:rsidR="00000000" w:rsidRPr="00000000">
        <w:rPr>
          <w:rtl w:val="0"/>
        </w:rPr>
        <w:t xml:space="preserve"> | Componentes de terceros (MCP/A2A) son envenenados en tiempo de ejecución. | Compromiso sistémico a través de proveedores; incapacidad de verificar la integridad del ecosistema. || </w:t>
      </w:r>
      <w:r w:rsidDel="00000000" w:rsidR="00000000" w:rsidRPr="00000000">
        <w:rPr>
          <w:b w:val="1"/>
          <w:bCs w:val="1"/>
          <w:rtl w:val="0"/>
        </w:rPr>
        <w:t xml:space="preserve">ASI05: Unexpected Code Execution</w:t>
      </w:r>
      <w:r w:rsidDel="00000000" w:rsidR="00000000" w:rsidRPr="00000000">
        <w:rPr>
          <w:rtl w:val="0"/>
        </w:rPr>
        <w:t xml:space="preserve"> | Rutas de ejecución en lenguaje natural desbloquean nuevas avenidas de RCE. | Compromiso total del host; ejecución de código arbitrario generado por la IA en sistemas internos. || </w:t>
      </w:r>
      <w:r w:rsidDel="00000000" w:rsidR="00000000" w:rsidRPr="00000000">
        <w:rPr>
          <w:b w:val="1"/>
          <w:bCs w:val="1"/>
          <w:rtl w:val="0"/>
        </w:rPr>
        <w:t xml:space="preserve">ASI06: Memory &amp; Context Poisoning</w:t>
      </w:r>
      <w:r w:rsidDel="00000000" w:rsidR="00000000" w:rsidRPr="00000000">
        <w:rPr>
          <w:rtl w:val="0"/>
        </w:rPr>
        <w:t xml:space="preserve"> | Inserción de datos maliciosos en la memoria de largo plazo que alteran decisiones futuras. | Sabotaje persistente y diferido; el agente "aprende" comportamientos dañinos que trascienden sesiones. || </w:t>
      </w:r>
      <w:r w:rsidDel="00000000" w:rsidR="00000000" w:rsidRPr="00000000">
        <w:rPr>
          <w:b w:val="1"/>
          <w:bCs w:val="1"/>
          <w:rtl w:val="0"/>
        </w:rPr>
        <w:t xml:space="preserve">ASI07: Insecure Inter-Agent Comm.</w:t>
      </w:r>
      <w:r w:rsidDel="00000000" w:rsidR="00000000" w:rsidRPr="00000000">
        <w:rPr>
          <w:rtl w:val="0"/>
        </w:rPr>
        <w:t xml:space="preserve"> | Mensajes falsificados entre agentes desvían clústeres enteros de su propósito. | Colapso de la confianza en sistemas multi-agente; coordinación maliciosa invisible para monitores humanos. || </w:t>
      </w:r>
      <w:r w:rsidDel="00000000" w:rsidR="00000000" w:rsidRPr="00000000">
        <w:rPr>
          <w:b w:val="1"/>
          <w:bCs w:val="1"/>
          <w:rtl w:val="0"/>
        </w:rPr>
        <w:t xml:space="preserve">ASI08: Cascading Failures</w:t>
      </w:r>
      <w:r w:rsidDel="00000000" w:rsidR="00000000" w:rsidRPr="00000000">
        <w:rPr>
          <w:rtl w:val="0"/>
        </w:rPr>
        <w:t xml:space="preserve"> | Un solo error o compromiso se propaga por dependencias agénticas con impacto escalonado. | Interrupción masiva del servicio; efecto dominó que afecta a múltiples unidades de negocio. || </w:t>
      </w:r>
      <w:r w:rsidDel="00000000" w:rsidR="00000000" w:rsidRPr="00000000">
        <w:rPr>
          <w:b w:val="1"/>
          <w:bCs w:val="1"/>
          <w:rtl w:val="0"/>
        </w:rPr>
        <w:t xml:space="preserve">ASI09: Human-Agent Trust Exploit.</w:t>
      </w:r>
      <w:r w:rsidDel="00000000" w:rsidR="00000000" w:rsidRPr="00000000">
        <w:rPr>
          <w:rtl w:val="0"/>
        </w:rPr>
        <w:t xml:space="preserve"> | Explicaciones convincentes engañan al operador para aprobar acciones dañinas. | Falla del control "Human-in-the-loop"; manipulación psicológica del personal técnico. || </w:t>
      </w:r>
      <w:r w:rsidDel="00000000" w:rsidR="00000000" w:rsidRPr="00000000">
        <w:rPr>
          <w:b w:val="1"/>
          <w:bCs w:val="1"/>
          <w:rtl w:val="0"/>
        </w:rPr>
        <w:t xml:space="preserve">ASI10: Rogue Agents</w:t>
      </w:r>
      <w:r w:rsidDel="00000000" w:rsidR="00000000" w:rsidRPr="00000000">
        <w:rPr>
          <w:rtl w:val="0"/>
        </w:rPr>
        <w:t xml:space="preserve"> | Agentes que actúan con autonomía dañina por deriva de alineación o compromiso. | Amenaza interna automatizada; sabotaje a gran escala con alta dificultad de recuperación forense. |</w:t>
      </w:r>
    </w:p>
    <w:p w:rsidR="00000000" w:rsidDel="00000000" w:rsidP="00000000" w:rsidRDefault="00000000" w:rsidRPr="00000000" w14:paraId="0000000D">
      <w:pPr>
        <w:rPr/>
      </w:pPr>
      <w:r w:rsidDel="00000000" w:rsidR="00000000" w:rsidRPr="00000000">
        <w:rPr>
          <w:rtl w:val="0"/>
        </w:rPr>
        <w:t xml:space="preserve">La mitigación de estos riesgos estructurales comienza con el control más crítico: la gestión de la identidad del agente.</w:t>
      </w:r>
    </w:p>
    <w:p w:rsidR="00000000" w:rsidDel="00000000" w:rsidP="00000000" w:rsidRDefault="00000000" w:rsidRPr="00000000" w14:paraId="0000000E">
      <w:pPr>
        <w:pStyle w:val="Heading4"/>
        <w:rPr/>
      </w:pPr>
      <w:bookmarkStart w:colFirst="0" w:colLast="0" w:name="_w3l2r9yj9ysv" w:id="3"/>
      <w:bookmarkEnd w:id="3"/>
      <w:r w:rsidDel="00000000" w:rsidR="00000000" w:rsidRPr="00000000">
        <w:rPr>
          <w:rtl w:val="0"/>
        </w:rPr>
        <w:t xml:space="preserve">3. Política de Gestión de Identidades No Humanas (NHI)</w:t>
      </w:r>
    </w:p>
    <w:p w:rsidR="00000000" w:rsidDel="00000000" w:rsidP="00000000" w:rsidRDefault="00000000" w:rsidRPr="00000000" w14:paraId="0000000F">
      <w:pPr>
        <w:rPr/>
      </w:pPr>
      <w:r w:rsidDel="00000000" w:rsidR="00000000" w:rsidRPr="00000000">
        <w:rPr>
          <w:rtl w:val="0"/>
        </w:rPr>
        <w:t xml:space="preserve">Los agentes autónomos son  </w:t>
      </w:r>
      <w:r w:rsidDel="00000000" w:rsidR="00000000" w:rsidRPr="00000000">
        <w:rPr>
          <w:b w:val="1"/>
          <w:bCs w:val="1"/>
          <w:rtl w:val="0"/>
        </w:rPr>
        <w:t xml:space="preserve">Identidades No Humanas (NHI)</w:t>
      </w:r>
      <w:r w:rsidDel="00000000" w:rsidR="00000000" w:rsidRPr="00000000">
        <w:rPr>
          <w:rtl w:val="0"/>
        </w:rPr>
        <w:t xml:space="preserve">  de primer nivel. En 2026, la proporción de identidades máquina frente a humanas ha escalado a  </w:t>
      </w:r>
      <w:r w:rsidDel="00000000" w:rsidR="00000000" w:rsidRPr="00000000">
        <w:rPr>
          <w:b w:val="1"/>
          <w:bCs w:val="1"/>
          <w:rtl w:val="0"/>
        </w:rPr>
        <w:t xml:space="preserve">109:1</w:t>
      </w:r>
      <w:r w:rsidDel="00000000" w:rsidR="00000000" w:rsidRPr="00000000">
        <w:rPr>
          <w:rtl w:val="0"/>
        </w:rPr>
        <w:t xml:space="preserve"> . Tratar a un agente simplemente como una extensión de la cuenta de un usuario es el error de seguridad más grave que una organización puede cometer, ya que facilita el problema del  </w:t>
      </w:r>
      <w:r w:rsidDel="00000000" w:rsidR="00000000" w:rsidRPr="00000000">
        <w:rPr>
          <w:b w:val="1"/>
          <w:bCs w:val="1"/>
          <w:rtl w:val="0"/>
        </w:rPr>
        <w:t xml:space="preserve">"Confused Deputy"</w:t>
      </w:r>
      <w:r w:rsidDel="00000000" w:rsidR="00000000" w:rsidRPr="00000000">
        <w:rPr>
          <w:rtl w:val="0"/>
        </w:rPr>
        <w:t xml:space="preserve">  (el ayudante confundido), donde el agente usa sus privilegios legítimos para ejecutar órdenes maliciosas de terceros.Para gestionar este riesgo de "Privilegio Excesivo", donde el 97% de las NHI suelen poseer permisos innecesarios, implementamos los siguientes controles obligatorios:</w:t>
      </w:r>
    </w:p>
    <w:p w:rsidR="00000000" w:rsidDel="00000000" w:rsidP="00000000" w:rsidRDefault="00000000" w:rsidRPr="00000000" w14:paraId="00000010">
      <w:pPr>
        <w:numPr>
          <w:ilvl w:val="0"/>
          <w:numId w:val="9"/>
        </w:numPr>
        <w:ind w:left="720" w:hanging="360"/>
        <w:rPr>
          <w:u w:val="none"/>
        </w:rPr>
      </w:pPr>
      <w:r w:rsidDel="00000000" w:rsidR="00000000" w:rsidRPr="00000000">
        <w:rPr>
          <w:b w:val="1"/>
          <w:bCs w:val="1"/>
          <w:rtl w:val="0"/>
        </w:rPr>
        <w:t xml:space="preserve">Identidad Única por Agente</w:t>
      </w:r>
      <w:r w:rsidDel="00000000" w:rsidR="00000000" w:rsidRPr="00000000">
        <w:rPr>
          <w:rtl w:val="0"/>
        </w:rPr>
        <w:t xml:space="preserve"> : Cada instancia debe tener un principal de autenticación distinto. Queda prohibida la reutilización de tokens de usuario humano.</w:t>
      </w:r>
    </w:p>
    <w:p w:rsidR="00000000" w:rsidDel="00000000" w:rsidP="00000000" w:rsidRDefault="00000000" w:rsidRPr="00000000" w14:paraId="00000011">
      <w:pPr>
        <w:numPr>
          <w:ilvl w:val="0"/>
          <w:numId w:val="9"/>
        </w:numPr>
        <w:ind w:left="720" w:hanging="360"/>
        <w:rPr>
          <w:u w:val="none"/>
        </w:rPr>
      </w:pPr>
      <w:r w:rsidDel="00000000" w:rsidR="00000000" w:rsidRPr="00000000">
        <w:rPr>
          <w:b w:val="1"/>
          <w:bCs w:val="1"/>
          <w:rtl w:val="0"/>
        </w:rPr>
        <w:t xml:space="preserve">OAuth 2.1 + PKCE</w:t>
      </w:r>
      <w:r w:rsidDel="00000000" w:rsidR="00000000" w:rsidRPr="00000000">
        <w:rPr>
          <w:rtl w:val="0"/>
        </w:rPr>
        <w:t xml:space="preserve"> : Este es el estándar obligatorio para el Model Context Protocol (MCP). La autorización debe ser delegada y verificable criptográficamente.</w:t>
      </w:r>
    </w:p>
    <w:p w:rsidR="00000000" w:rsidDel="00000000" w:rsidP="00000000" w:rsidRDefault="00000000" w:rsidRPr="00000000" w14:paraId="00000012">
      <w:pPr>
        <w:numPr>
          <w:ilvl w:val="0"/>
          <w:numId w:val="9"/>
        </w:numPr>
        <w:ind w:left="720" w:hanging="360"/>
        <w:rPr>
          <w:u w:val="none"/>
        </w:rPr>
      </w:pPr>
      <w:r w:rsidDel="00000000" w:rsidR="00000000" w:rsidRPr="00000000">
        <w:rPr>
          <w:b w:val="1"/>
          <w:bCs w:val="1"/>
          <w:rtl w:val="0"/>
        </w:rPr>
        <w:t xml:space="preserve">Tokens de Vida Corta</w:t>
      </w:r>
      <w:r w:rsidDel="00000000" w:rsidR="00000000" w:rsidRPr="00000000">
        <w:rPr>
          <w:rtl w:val="0"/>
        </w:rPr>
        <w:t xml:space="preserve"> : Las credenciales deben tener una validez de minutos, no de días, utilizando aprovisionamiento  </w:t>
      </w:r>
      <w:r w:rsidDel="00000000" w:rsidR="00000000" w:rsidRPr="00000000">
        <w:rPr>
          <w:i w:val="1"/>
          <w:iCs w:val="1"/>
          <w:rtl w:val="0"/>
        </w:rPr>
        <w:t xml:space="preserve">Just-in-Time</w:t>
      </w:r>
      <w:r w:rsidDel="00000000" w:rsidR="00000000" w:rsidRPr="00000000">
        <w:rPr>
          <w:rtl w:val="0"/>
        </w:rPr>
        <w:t xml:space="preserve">  (JIT).</w:t>
      </w:r>
    </w:p>
    <w:p w:rsidR="00000000" w:rsidDel="00000000" w:rsidP="00000000" w:rsidRDefault="00000000" w:rsidRPr="00000000" w14:paraId="00000013">
      <w:pPr>
        <w:numPr>
          <w:ilvl w:val="0"/>
          <w:numId w:val="9"/>
        </w:numPr>
        <w:ind w:left="720" w:hanging="360"/>
        <w:rPr>
          <w:u w:val="none"/>
        </w:rPr>
      </w:pPr>
      <w:r w:rsidDel="00000000" w:rsidR="00000000" w:rsidRPr="00000000">
        <w:rPr>
          <w:b w:val="1"/>
          <w:bCs w:val="1"/>
          <w:rtl w:val="0"/>
        </w:rPr>
        <w:t xml:space="preserve">Principio de Autoridad Efectiva</w:t>
      </w:r>
      <w:r w:rsidDel="00000000" w:rsidR="00000000" w:rsidRPr="00000000">
        <w:rPr>
          <w:rtl w:val="0"/>
        </w:rPr>
        <w:t xml:space="preserve"> : Los permisos finales serán siempre la  </w:t>
      </w:r>
      <w:r w:rsidDel="00000000" w:rsidR="00000000" w:rsidRPr="00000000">
        <w:rPr>
          <w:b w:val="1"/>
          <w:bCs w:val="1"/>
          <w:rtl w:val="0"/>
        </w:rPr>
        <w:t xml:space="preserve">intersección</w:t>
      </w:r>
      <w:r w:rsidDel="00000000" w:rsidR="00000000" w:rsidRPr="00000000">
        <w:rPr>
          <w:rtl w:val="0"/>
        </w:rPr>
        <w:t xml:space="preserve">  (nunca la unión) de los permisos del agente y los del usuario que delega la tarea.</w:t>
      </w:r>
    </w:p>
    <w:p w:rsidR="00000000" w:rsidDel="00000000" w:rsidP="00000000" w:rsidRDefault="00000000" w:rsidRPr="00000000" w14:paraId="00000014">
      <w:pPr>
        <w:numPr>
          <w:ilvl w:val="0"/>
          <w:numId w:val="9"/>
        </w:numPr>
        <w:ind w:left="720" w:hanging="360"/>
        <w:rPr>
          <w:u w:val="none"/>
        </w:rPr>
      </w:pPr>
      <w:r w:rsidDel="00000000" w:rsidR="00000000" w:rsidRPr="00000000">
        <w:rPr>
          <w:b w:val="1"/>
          <w:bCs w:val="1"/>
          <w:rtl w:val="0"/>
        </w:rPr>
        <w:t xml:space="preserve">Aislamiento de Carga de Trabajo</w:t>
      </w:r>
      <w:r w:rsidDel="00000000" w:rsidR="00000000" w:rsidRPr="00000000">
        <w:rPr>
          <w:rtl w:val="0"/>
        </w:rPr>
        <w:t xml:space="preserve"> : Uso de SPIFFE/SPIRE para identidades de carga de trabajo, asegurando mTLS en comunicaciones inter-agente.Dominar la identidad permite, a su vez, "gobernar el dial de autonomía" para evitar la agencia excesiva.</w:t>
      </w:r>
    </w:p>
    <w:p w:rsidR="00000000" w:rsidDel="00000000" w:rsidP="00000000" w:rsidRDefault="00000000" w:rsidRPr="00000000" w14:paraId="00000015">
      <w:pPr>
        <w:pStyle w:val="Heading4"/>
        <w:rPr/>
      </w:pPr>
      <w:bookmarkStart w:colFirst="0" w:colLast="0" w:name="_7srr0v1ur56s" w:id="4"/>
      <w:bookmarkEnd w:id="4"/>
      <w:r w:rsidDel="00000000" w:rsidR="00000000" w:rsidRPr="00000000">
        <w:rPr>
          <w:rtl w:val="0"/>
        </w:rPr>
        <w:t xml:space="preserve">4. Control Operativo: Privilegio Mínimo y Contención de Agencia</w:t>
      </w:r>
    </w:p>
    <w:p w:rsidR="00000000" w:rsidDel="00000000" w:rsidP="00000000" w:rsidRDefault="00000000" w:rsidRPr="00000000" w14:paraId="00000016">
      <w:pPr>
        <w:rPr/>
      </w:pPr>
      <w:r w:rsidDel="00000000" w:rsidR="00000000" w:rsidRPr="00000000">
        <w:rPr>
          <w:rtl w:val="0"/>
        </w:rPr>
        <w:t xml:space="preserve">El riesgo de  </w:t>
      </w:r>
      <w:r w:rsidDel="00000000" w:rsidR="00000000" w:rsidRPr="00000000">
        <w:rPr>
          <w:b w:val="1"/>
          <w:bCs w:val="1"/>
          <w:rtl w:val="0"/>
        </w:rPr>
        <w:t xml:space="preserve">Agencia Excesiva</w:t>
      </w:r>
      <w:r w:rsidDel="00000000" w:rsidR="00000000" w:rsidRPr="00000000">
        <w:rPr>
          <w:rtl w:val="0"/>
        </w:rPr>
        <w:t xml:space="preserve">  (LLM06:2025) nace de la funcionalidad, permisos y autonomía innecesarios. Dada la naturaleza  </w:t>
      </w:r>
      <w:r w:rsidDel="00000000" w:rsidR="00000000" w:rsidRPr="00000000">
        <w:rPr>
          <w:b w:val="1"/>
          <w:bCs w:val="1"/>
          <w:rtl w:val="0"/>
        </w:rPr>
        <w:t xml:space="preserve">zero-click</w:t>
      </w:r>
      <w:r w:rsidDel="00000000" w:rsidR="00000000" w:rsidRPr="00000000">
        <w:rPr>
          <w:rtl w:val="0"/>
        </w:rPr>
        <w:t xml:space="preserve">  de vulnerabilidades como  </w:t>
      </w:r>
      <w:r w:rsidDel="00000000" w:rsidR="00000000" w:rsidRPr="00000000">
        <w:rPr>
          <w:b w:val="1"/>
          <w:bCs w:val="1"/>
          <w:rtl w:val="0"/>
        </w:rPr>
        <w:t xml:space="preserve">EchoLeak</w:t>
      </w:r>
      <w:r w:rsidDel="00000000" w:rsidR="00000000" w:rsidRPr="00000000">
        <w:rPr>
          <w:rtl w:val="0"/>
        </w:rPr>
        <w:t xml:space="preserve"> , nuestra arquitectura debe basarse en la contención operativa. No se trata de cuánto  </w:t>
      </w:r>
      <w:r w:rsidDel="00000000" w:rsidR="00000000" w:rsidRPr="00000000">
        <w:rPr>
          <w:i w:val="1"/>
          <w:iCs w:val="1"/>
          <w:rtl w:val="0"/>
        </w:rPr>
        <w:t xml:space="preserve">puede</w:t>
      </w:r>
      <w:r w:rsidDel="00000000" w:rsidR="00000000" w:rsidRPr="00000000">
        <w:rPr>
          <w:rtl w:val="0"/>
        </w:rPr>
        <w:t xml:space="preserve">  hacer el agente, sino de cuánto se le  </w:t>
      </w:r>
      <w:r w:rsidDel="00000000" w:rsidR="00000000" w:rsidRPr="00000000">
        <w:rPr>
          <w:i w:val="1"/>
          <w:iCs w:val="1"/>
          <w:rtl w:val="0"/>
        </w:rPr>
        <w:t xml:space="preserve">permite</w:t>
      </w:r>
      <w:r w:rsidDel="00000000" w:rsidR="00000000" w:rsidRPr="00000000">
        <w:rPr>
          <w:rtl w:val="0"/>
        </w:rPr>
        <w:t xml:space="preserve">  hacer sin validación externa.Implementamos una escala de  </w:t>
      </w:r>
      <w:r w:rsidDel="00000000" w:rsidR="00000000" w:rsidRPr="00000000">
        <w:rPr>
          <w:b w:val="1"/>
          <w:bCs w:val="1"/>
          <w:rtl w:val="0"/>
        </w:rPr>
        <w:t xml:space="preserve">Niveles de Autonomía</w:t>
      </w:r>
      <w:r w:rsidDel="00000000" w:rsidR="00000000" w:rsidRPr="00000000">
        <w:rPr>
          <w:rtl w:val="0"/>
        </w:rPr>
        <w:t xml:space="preserve">  para cada despliegue:</w:t>
      </w:r>
    </w:p>
    <w:p w:rsidR="00000000" w:rsidDel="00000000" w:rsidP="00000000" w:rsidRDefault="00000000" w:rsidRPr="00000000" w14:paraId="00000017">
      <w:pPr>
        <w:numPr>
          <w:ilvl w:val="0"/>
          <w:numId w:val="5"/>
        </w:numPr>
        <w:ind w:left="720" w:hanging="360"/>
        <w:rPr>
          <w:u w:val="none"/>
        </w:rPr>
      </w:pPr>
      <w:r w:rsidDel="00000000" w:rsidR="00000000" w:rsidRPr="00000000">
        <w:rPr>
          <w:b w:val="1"/>
          <w:bCs w:val="1"/>
          <w:rtl w:val="0"/>
        </w:rPr>
        <w:t xml:space="preserve">Tier 1: Supervisión Total</w:t>
      </w:r>
      <w:r w:rsidDel="00000000" w:rsidR="00000000" w:rsidRPr="00000000">
        <w:rPr>
          <w:rtl w:val="0"/>
        </w:rPr>
        <w:t xml:space="preserve"> : Requiere aprobación humana para  </w:t>
      </w:r>
      <w:r w:rsidDel="00000000" w:rsidR="00000000" w:rsidRPr="00000000">
        <w:rPr>
          <w:i w:val="1"/>
          <w:iCs w:val="1"/>
          <w:rtl w:val="0"/>
        </w:rPr>
        <w:t xml:space="preserve">cada</w:t>
      </w:r>
      <w:r w:rsidDel="00000000" w:rsidR="00000000" w:rsidRPr="00000000">
        <w:rPr>
          <w:rtl w:val="0"/>
        </w:rPr>
        <w:t xml:space="preserve">  acción externa.</w:t>
      </w:r>
    </w:p>
    <w:p w:rsidR="00000000" w:rsidDel="00000000" w:rsidP="00000000" w:rsidRDefault="00000000" w:rsidRPr="00000000" w14:paraId="00000018">
      <w:pPr>
        <w:numPr>
          <w:ilvl w:val="0"/>
          <w:numId w:val="5"/>
        </w:numPr>
        <w:ind w:left="720" w:hanging="360"/>
        <w:rPr>
          <w:u w:val="none"/>
        </w:rPr>
      </w:pPr>
      <w:r w:rsidDel="00000000" w:rsidR="00000000" w:rsidRPr="00000000">
        <w:rPr>
          <w:b w:val="1"/>
          <w:bCs w:val="1"/>
          <w:rtl w:val="0"/>
        </w:rPr>
        <w:t xml:space="preserve">Tier 2: Autonomía Restringida</w:t>
      </w:r>
      <w:r w:rsidDel="00000000" w:rsidR="00000000" w:rsidRPr="00000000">
        <w:rPr>
          <w:rtl w:val="0"/>
        </w:rPr>
        <w:t xml:space="preserve"> : Acciones de bajo riesgo son automáticas; acciones de alto impacto (borrado, transferencias, cambios de política) están bloqueadas por un guardrail de consentimiento.</w:t>
      </w:r>
    </w:p>
    <w:p w:rsidR="00000000" w:rsidDel="00000000" w:rsidP="00000000" w:rsidRDefault="00000000" w:rsidRPr="00000000" w14:paraId="00000019">
      <w:pPr>
        <w:numPr>
          <w:ilvl w:val="0"/>
          <w:numId w:val="5"/>
        </w:numPr>
        <w:ind w:left="720" w:hanging="360"/>
        <w:rPr>
          <w:u w:val="none"/>
        </w:rPr>
      </w:pPr>
      <w:r w:rsidDel="00000000" w:rsidR="00000000" w:rsidRPr="00000000">
        <w:rPr>
          <w:b w:val="1"/>
          <w:bCs w:val="1"/>
          <w:rtl w:val="0"/>
        </w:rPr>
        <w:t xml:space="preserve">Tier 3: Autonomía Amplia</w:t>
      </w:r>
      <w:r w:rsidDel="00000000" w:rsidR="00000000" w:rsidRPr="00000000">
        <w:rPr>
          <w:rtl w:val="0"/>
        </w:rPr>
        <w:t xml:space="preserve"> : Reservada para entornos  </w:t>
      </w:r>
      <w:r w:rsidDel="00000000" w:rsidR="00000000" w:rsidRPr="00000000">
        <w:rPr>
          <w:i w:val="1"/>
          <w:iCs w:val="1"/>
          <w:rtl w:val="0"/>
        </w:rPr>
        <w:t xml:space="preserve">air-gapped</w:t>
      </w:r>
      <w:r w:rsidDel="00000000" w:rsidR="00000000" w:rsidRPr="00000000">
        <w:rPr>
          <w:rtl w:val="0"/>
        </w:rPr>
        <w:t xml:space="preserve">  o sandboxes aislados, con monitoreo continuo pero sin intervención manual constante.La contención operativa no es solo técnica; es una salvaguarda legal ante las nuevas exigencias de rendición de cuentas.</w:t>
      </w:r>
    </w:p>
    <w:p w:rsidR="00000000" w:rsidDel="00000000" w:rsidP="00000000" w:rsidRDefault="00000000" w:rsidRPr="00000000" w14:paraId="0000001A">
      <w:pPr>
        <w:pStyle w:val="Heading4"/>
        <w:rPr/>
      </w:pPr>
      <w:bookmarkStart w:colFirst="0" w:colLast="0" w:name="_2cqbegyf6db8" w:id="5"/>
      <w:bookmarkEnd w:id="5"/>
      <w:r w:rsidDel="00000000" w:rsidR="00000000" w:rsidRPr="00000000">
        <w:rPr>
          <w:rtl w:val="0"/>
        </w:rPr>
        <w:t xml:space="preserve">5. Alineación con la Ley de IA de la UE (Artículos 12 y 26)</w:t>
      </w:r>
    </w:p>
    <w:p w:rsidR="00000000" w:rsidDel="00000000" w:rsidP="00000000" w:rsidRDefault="00000000" w:rsidRPr="00000000" w14:paraId="0000001B">
      <w:pPr>
        <w:rPr/>
      </w:pPr>
      <w:r w:rsidDel="00000000" w:rsidR="00000000" w:rsidRPr="00000000">
        <w:rPr>
          <w:rtl w:val="0"/>
        </w:rPr>
        <w:t xml:space="preserve">El incumplimiento del marco europeo puede acarrear multas de hasta  </w:t>
      </w:r>
      <w:r w:rsidDel="00000000" w:rsidR="00000000" w:rsidRPr="00000000">
        <w:rPr>
          <w:b w:val="1"/>
          <w:bCs w:val="1"/>
          <w:rtl w:val="0"/>
        </w:rPr>
        <w:t xml:space="preserve">15 millones de euros o el 3% del volumen de negocios global</w:t>
      </w:r>
      <w:r w:rsidDel="00000000" w:rsidR="00000000" w:rsidRPr="00000000">
        <w:rPr>
          <w:rtl w:val="0"/>
        </w:rPr>
        <w:t xml:space="preserve"> . Bajo los Artículos 12 y 26, la trazabilidad técnica es obligatoria para sistemas de IA de alto riesgo.</w:t>
      </w:r>
      <w:r w:rsidDel="00000000" w:rsidR="00000000" w:rsidRPr="00000000">
        <w:rPr>
          <w:b w:val="1"/>
          <w:bCs w:val="1"/>
          <w:rtl w:val="0"/>
        </w:rPr>
        <w:t xml:space="preserve">Nota de CISO:</w:t>
      </w:r>
      <w:r w:rsidDel="00000000" w:rsidR="00000000" w:rsidRPr="00000000">
        <w:rPr>
          <w:rtl w:val="0"/>
        </w:rPr>
        <w:t xml:space="preserve">  Si bien las obligaciones originales apuntaban a 2026, el acuerdo político de mayo de 2026 ha movido los plazos de cumplimiento para sistemas del Anexo III a  </w:t>
      </w:r>
      <w:r w:rsidDel="00000000" w:rsidR="00000000" w:rsidRPr="00000000">
        <w:rPr>
          <w:b w:val="1"/>
          <w:bCs w:val="1"/>
          <w:rtl w:val="0"/>
        </w:rPr>
        <w:t xml:space="preserve">diciembre de 2027</w:t>
      </w:r>
      <w:r w:rsidDel="00000000" w:rsidR="00000000" w:rsidRPr="00000000">
        <w:rPr>
          <w:rtl w:val="0"/>
        </w:rPr>
        <w:t xml:space="preserve"> . Sin embargo, la infraestructura de registro debe construirse hoy.Para cumplir con el mandato de registros automáticos e inalterables, exigimos el uso de  </w:t>
      </w:r>
      <w:r w:rsidDel="00000000" w:rsidR="00000000" w:rsidRPr="00000000">
        <w:rPr>
          <w:b w:val="1"/>
          <w:bCs w:val="1"/>
          <w:rtl w:val="0"/>
        </w:rPr>
        <w:t xml:space="preserve">evidencia criptográfica</w:t>
      </w:r>
      <w:r w:rsidDel="00000000" w:rsidR="00000000" w:rsidRPr="00000000">
        <w:rPr>
          <w:rtl w:val="0"/>
        </w:rPr>
        <w:t xml:space="preserve">  mediante  </w:t>
      </w:r>
      <w:r w:rsidDel="00000000" w:rsidR="00000000" w:rsidRPr="00000000">
        <w:rPr>
          <w:i w:val="1"/>
          <w:iCs w:val="1"/>
          <w:rtl w:val="0"/>
        </w:rPr>
        <w:t xml:space="preserve">hash chains</w:t>
      </w:r>
      <w:r w:rsidDel="00000000" w:rsidR="00000000" w:rsidRPr="00000000">
        <w:rPr>
          <w:rtl w:val="0"/>
        </w:rPr>
        <w:t xml:space="preserve">  o  </w:t>
      </w:r>
      <w:r w:rsidDel="00000000" w:rsidR="00000000" w:rsidRPr="00000000">
        <w:rPr>
          <w:i w:val="1"/>
          <w:iCs w:val="1"/>
          <w:rtl w:val="0"/>
        </w:rPr>
        <w:t xml:space="preserve">Merkle trees</w:t>
      </w:r>
      <w:r w:rsidDel="00000000" w:rsidR="00000000" w:rsidRPr="00000000">
        <w:rPr>
          <w:rtl w:val="0"/>
        </w:rPr>
        <w:t xml:space="preserve"> . Esto garantiza que cualquier alteración en el registro forense sea detectada inmediatamente. Los campos obligatorios de auditoría incluyen:</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Identidad del agente y autorizador humano.</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Datos accedidos y operación realizada.</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Resultado de la evaluación de políticas y sello de tiempo inalterable.</w:t>
      </w:r>
    </w:p>
    <w:p w:rsidR="00000000" w:rsidDel="00000000" w:rsidP="00000000" w:rsidRDefault="00000000" w:rsidRPr="00000000" w14:paraId="0000001F">
      <w:pPr>
        <w:pStyle w:val="Heading4"/>
        <w:rPr/>
      </w:pPr>
      <w:bookmarkStart w:colFirst="0" w:colLast="0" w:name="_n0hcdogox80g" w:id="6"/>
      <w:bookmarkEnd w:id="6"/>
      <w:r w:rsidDel="00000000" w:rsidR="00000000" w:rsidRPr="00000000">
        <w:rPr>
          <w:rtl w:val="0"/>
        </w:rPr>
        <w:t xml:space="preserve">6. Defensa en Tiempo de Ejecución y Arquitectura de Contención</w:t>
      </w:r>
    </w:p>
    <w:p w:rsidR="00000000" w:rsidDel="00000000" w:rsidP="00000000" w:rsidRDefault="00000000" w:rsidRPr="00000000" w14:paraId="00000020">
      <w:pPr>
        <w:rPr/>
      </w:pPr>
      <w:r w:rsidDel="00000000" w:rsidR="00000000" w:rsidRPr="00000000">
        <w:rPr>
          <w:rtl w:val="0"/>
        </w:rPr>
        <w:t xml:space="preserve">La seguridad multi-agente (MAS) es  </w:t>
      </w:r>
      <w:r w:rsidDel="00000000" w:rsidR="00000000" w:rsidRPr="00000000">
        <w:rPr>
          <w:b w:val="1"/>
          <w:bCs w:val="1"/>
          <w:rtl w:val="0"/>
        </w:rPr>
        <w:t xml:space="preserve">no-composicional</w:t>
      </w:r>
      <w:r w:rsidDel="00000000" w:rsidR="00000000" w:rsidRPr="00000000">
        <w:rPr>
          <w:rtl w:val="0"/>
        </w:rPr>
        <w:t xml:space="preserve"> : no se puede asumir que un sistema es seguro solo porque sus agentes individuales lo son. El riesgo de colusión steganográfica o fallos en cascada (ASI08) exige una defensa en profundidad.Nuestra arquitectura de contención se basa en la implementación de  </w:t>
      </w:r>
      <w:r w:rsidDel="00000000" w:rsidR="00000000" w:rsidRPr="00000000">
        <w:rPr>
          <w:b w:val="1"/>
          <w:bCs w:val="1"/>
          <w:rtl w:val="0"/>
        </w:rPr>
        <w:t xml:space="preserve">LlamaFirewall</w:t>
      </w:r>
      <w:r w:rsidDel="00000000" w:rsidR="00000000" w:rsidRPr="00000000">
        <w:rPr>
          <w:rtl w:val="0"/>
        </w:rPr>
        <w:t xml:space="preserve"> , que ha demostrado reducir la tasa de éxito de ataques del  </w:t>
      </w:r>
      <w:r w:rsidDel="00000000" w:rsidR="00000000" w:rsidRPr="00000000">
        <w:rPr>
          <w:b w:val="1"/>
          <w:bCs w:val="1"/>
          <w:rtl w:val="0"/>
        </w:rPr>
        <w:t xml:space="preserve">17.6% a solo el 1.75%</w:t>
      </w:r>
      <w:r w:rsidDel="00000000" w:rsidR="00000000" w:rsidRPr="00000000">
        <w:rPr>
          <w:rtl w:val="0"/>
        </w:rPr>
        <w:t xml:space="preserve"> .</w:t>
      </w:r>
    </w:p>
    <w:p w:rsidR="00000000" w:rsidDel="00000000" w:rsidP="00000000" w:rsidRDefault="00000000" w:rsidRPr="00000000" w14:paraId="00000021">
      <w:pPr>
        <w:numPr>
          <w:ilvl w:val="0"/>
          <w:numId w:val="11"/>
        </w:numPr>
        <w:ind w:left="720" w:hanging="360"/>
        <w:rPr>
          <w:u w:val="none"/>
        </w:rPr>
      </w:pPr>
      <w:r w:rsidDel="00000000" w:rsidR="00000000" w:rsidRPr="00000000">
        <w:rPr>
          <w:b w:val="1"/>
          <w:bCs w:val="1"/>
          <w:rtl w:val="0"/>
        </w:rPr>
        <w:t xml:space="preserve">Aislamiento mediante MicroVMs</w:t>
      </w:r>
      <w:r w:rsidDel="00000000" w:rsidR="00000000" w:rsidRPr="00000000">
        <w:rPr>
          <w:rtl w:val="0"/>
        </w:rPr>
        <w:t xml:space="preserve"> : La ejecución de código generado (CodeShield) debe ocurrir en sandboxes tipo Firecracker o Kata, evitando que una inyección de código acceda al kernel del host.</w:t>
      </w:r>
    </w:p>
    <w:p w:rsidR="00000000" w:rsidDel="00000000" w:rsidP="00000000" w:rsidRDefault="00000000" w:rsidRPr="00000000" w14:paraId="00000022">
      <w:pPr>
        <w:numPr>
          <w:ilvl w:val="0"/>
          <w:numId w:val="11"/>
        </w:numPr>
        <w:ind w:left="720" w:hanging="360"/>
        <w:rPr>
          <w:u w:val="none"/>
        </w:rPr>
      </w:pPr>
      <w:r w:rsidDel="00000000" w:rsidR="00000000" w:rsidRPr="00000000">
        <w:rPr>
          <w:b w:val="1"/>
          <w:bCs w:val="1"/>
          <w:rtl w:val="0"/>
        </w:rPr>
        <w:t xml:space="preserve">Arquitectura "Plan-then-Execute"</w:t>
      </w:r>
      <w:r w:rsidDel="00000000" w:rsidR="00000000" w:rsidRPr="00000000">
        <w:rPr>
          <w:rtl w:val="0"/>
        </w:rPr>
        <w:t xml:space="preserve"> : Separar la planificación (IA razonando) de la ejecución (sistema validando). Esto permite que un monitor independiente bloquee planes maliciosos antes de que se llamen a las herramientas.</w:t>
      </w:r>
    </w:p>
    <w:p w:rsidR="00000000" w:rsidDel="00000000" w:rsidP="00000000" w:rsidRDefault="00000000" w:rsidRPr="00000000" w14:paraId="00000023">
      <w:pPr>
        <w:numPr>
          <w:ilvl w:val="0"/>
          <w:numId w:val="11"/>
        </w:numPr>
        <w:ind w:left="720" w:hanging="360"/>
        <w:rPr>
          <w:u w:val="none"/>
        </w:rPr>
      </w:pPr>
      <w:r w:rsidDel="00000000" w:rsidR="00000000" w:rsidRPr="00000000">
        <w:rPr>
          <w:b w:val="1"/>
          <w:bCs w:val="1"/>
          <w:rtl w:val="0"/>
        </w:rPr>
        <w:t xml:space="preserve">Capa de Alineación (AlignmentCheck)</w:t>
      </w:r>
      <w:r w:rsidDel="00000000" w:rsidR="00000000" w:rsidRPr="00000000">
        <w:rPr>
          <w:rtl w:val="0"/>
        </w:rPr>
        <w:t xml:space="preserve"> : Auditoría del "flujo de pensamiento" del agente para detectar si el objetivo original ha sido secuestrado por prompts externos.</w:t>
      </w:r>
    </w:p>
    <w:p w:rsidR="00000000" w:rsidDel="00000000" w:rsidP="00000000" w:rsidRDefault="00000000" w:rsidRPr="00000000" w14:paraId="00000024">
      <w:pPr>
        <w:pStyle w:val="Heading4"/>
        <w:rPr/>
      </w:pPr>
      <w:bookmarkStart w:colFirst="0" w:colLast="0" w:name="_2zm8j4w821yk" w:id="7"/>
      <w:bookmarkEnd w:id="7"/>
      <w:r w:rsidDel="00000000" w:rsidR="00000000" w:rsidRPr="00000000">
        <w:rPr>
          <w:rtl w:val="0"/>
        </w:rPr>
        <w:t xml:space="preserve">7. Lista de Verificación de Seguridad Agéntica (CISO Checklist 2026)</w:t>
      </w:r>
    </w:p>
    <w:p w:rsidR="00000000" w:rsidDel="00000000" w:rsidP="00000000" w:rsidRDefault="00000000" w:rsidRPr="00000000" w14:paraId="00000025">
      <w:pPr>
        <w:rPr/>
      </w:pPr>
      <w:r w:rsidDel="00000000" w:rsidR="00000000" w:rsidRPr="00000000">
        <w:rPr>
          <w:rtl w:val="0"/>
        </w:rPr>
        <w:t xml:space="preserve">Este checklist es el estándar operativo para validar cualquier despliegue de agentes en la organización, integrando fuentes de autoridad como CISA, OWASP y NIST.</w:t>
      </w:r>
    </w:p>
    <w:p w:rsidR="00000000" w:rsidDel="00000000" w:rsidP="00000000" w:rsidRDefault="00000000" w:rsidRPr="00000000" w14:paraId="00000026">
      <w:pPr>
        <w:pStyle w:val="Heading5"/>
        <w:rPr/>
      </w:pPr>
      <w:bookmarkStart w:colFirst="0" w:colLast="0" w:name="_f05scayeb938" w:id="8"/>
      <w:bookmarkEnd w:id="8"/>
      <w:r w:rsidDel="00000000" w:rsidR="00000000" w:rsidRPr="00000000">
        <w:rPr>
          <w:rtl w:val="0"/>
        </w:rPr>
        <w:t xml:space="preserve">Inventario y Descubrimiento</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 ¿Existe un registro vivo de todos los agentes, incluyendo despliegues shadow? (CISA / OWASP ANS)</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 ¿Se ha realizado un análisis de "blast radius" para cada herramienta conectada? (CISA)</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 ¿Se inspeccionan periódicamente los prompts del sistema y definiciones de herramientas? (CSA)</w:t>
      </w:r>
    </w:p>
    <w:p w:rsidR="00000000" w:rsidDel="00000000" w:rsidP="00000000" w:rsidRDefault="00000000" w:rsidRPr="00000000" w14:paraId="0000002A">
      <w:pPr>
        <w:pStyle w:val="Heading5"/>
        <w:rPr/>
      </w:pPr>
      <w:bookmarkStart w:colFirst="0" w:colLast="0" w:name="_6whoee801yi8" w:id="9"/>
      <w:bookmarkEnd w:id="9"/>
      <w:r w:rsidDel="00000000" w:rsidR="00000000" w:rsidRPr="00000000">
        <w:rPr>
          <w:rtl w:val="0"/>
        </w:rPr>
        <w:t xml:space="preserve">Identidad y Acceso</w:t>
      </w:r>
    </w:p>
    <w:p w:rsidR="00000000" w:rsidDel="00000000" w:rsidP="00000000" w:rsidRDefault="00000000" w:rsidRPr="00000000" w14:paraId="0000002B">
      <w:pPr>
        <w:numPr>
          <w:ilvl w:val="0"/>
          <w:numId w:val="6"/>
        </w:numPr>
        <w:ind w:left="720" w:hanging="360"/>
        <w:rPr>
          <w:u w:val="none"/>
        </w:rPr>
      </w:pPr>
      <w:r w:rsidDel="00000000" w:rsidR="00000000" w:rsidRPr="00000000">
        <w:rPr>
          <w:rtl w:val="0"/>
        </w:rPr>
        <w:t xml:space="preserve"> ¿Cada agente posee una identidad NHI única gestionada bajo OAuth 2.1? (OWASP NHI10 / MCP)</w:t>
      </w:r>
    </w:p>
    <w:p w:rsidR="00000000" w:rsidDel="00000000" w:rsidP="00000000" w:rsidRDefault="00000000" w:rsidRPr="00000000" w14:paraId="0000002C">
      <w:pPr>
        <w:numPr>
          <w:ilvl w:val="0"/>
          <w:numId w:val="6"/>
        </w:numPr>
        <w:ind w:left="720" w:hanging="360"/>
        <w:rPr>
          <w:u w:val="none"/>
        </w:rPr>
      </w:pPr>
      <w:r w:rsidDel="00000000" w:rsidR="00000000" w:rsidRPr="00000000">
        <w:rPr>
          <w:rtl w:val="0"/>
        </w:rPr>
        <w:t xml:space="preserve"> ¿Se utilizan tokens de vida corta (escala de minutos) con aprovisionamiento JIT? (NIST 800-207A)</w:t>
      </w:r>
    </w:p>
    <w:p w:rsidR="00000000" w:rsidDel="00000000" w:rsidP="00000000" w:rsidRDefault="00000000" w:rsidRPr="00000000" w14:paraId="0000002D">
      <w:pPr>
        <w:numPr>
          <w:ilvl w:val="0"/>
          <w:numId w:val="6"/>
        </w:numPr>
        <w:ind w:left="720" w:hanging="360"/>
        <w:rPr>
          <w:u w:val="none"/>
        </w:rPr>
      </w:pPr>
      <w:r w:rsidDel="00000000" w:rsidR="00000000" w:rsidRPr="00000000">
        <w:rPr>
          <w:rtl w:val="0"/>
        </w:rPr>
        <w:t xml:space="preserve"> ¿Se aplica la "autoridad efectiva" (intersección de permisos) para evitar el Confused Deputy? (CISA)</w:t>
      </w:r>
    </w:p>
    <w:p w:rsidR="00000000" w:rsidDel="00000000" w:rsidP="00000000" w:rsidRDefault="00000000" w:rsidRPr="00000000" w14:paraId="0000002E">
      <w:pPr>
        <w:pStyle w:val="Heading5"/>
        <w:rPr/>
      </w:pPr>
      <w:bookmarkStart w:colFirst="0" w:colLast="0" w:name="_4se5ko1xm53n" w:id="10"/>
      <w:bookmarkEnd w:id="10"/>
      <w:r w:rsidDel="00000000" w:rsidR="00000000" w:rsidRPr="00000000">
        <w:rPr>
          <w:rtl w:val="0"/>
        </w:rPr>
        <w:t xml:space="preserve">Cadena de Suministro</w:t>
      </w:r>
    </w:p>
    <w:p w:rsidR="00000000" w:rsidDel="00000000" w:rsidP="00000000" w:rsidRDefault="00000000" w:rsidRPr="00000000" w14:paraId="0000002F">
      <w:pPr>
        <w:numPr>
          <w:ilvl w:val="0"/>
          <w:numId w:val="8"/>
        </w:numPr>
        <w:ind w:left="720" w:hanging="360"/>
        <w:rPr>
          <w:u w:val="none"/>
        </w:rPr>
      </w:pPr>
      <w:r w:rsidDel="00000000" w:rsidR="00000000" w:rsidRPr="00000000">
        <w:rPr>
          <w:rtl w:val="0"/>
        </w:rPr>
        <w:t xml:space="preserve"> ¿Se minimiza la funcionalidad de las herramientas al mínimo necesario? (OWASP LLM06)</w:t>
      </w:r>
    </w:p>
    <w:p w:rsidR="00000000" w:rsidDel="00000000" w:rsidP="00000000" w:rsidRDefault="00000000" w:rsidRPr="00000000" w14:paraId="00000030">
      <w:pPr>
        <w:numPr>
          <w:ilvl w:val="0"/>
          <w:numId w:val="8"/>
        </w:numPr>
        <w:ind w:left="720" w:hanging="360"/>
        <w:rPr>
          <w:u w:val="none"/>
        </w:rPr>
      </w:pPr>
      <w:r w:rsidDel="00000000" w:rsidR="00000000" w:rsidRPr="00000000">
        <w:rPr>
          <w:rtl w:val="0"/>
        </w:rPr>
        <w:t xml:space="preserve"> ¿Se validan todos los argumentos de llamadas a herramientas contra un esquema rígido? (ASI02)</w:t>
      </w:r>
    </w:p>
    <w:p w:rsidR="00000000" w:rsidDel="00000000" w:rsidP="00000000" w:rsidRDefault="00000000" w:rsidRPr="00000000" w14:paraId="00000031">
      <w:pPr>
        <w:numPr>
          <w:ilvl w:val="0"/>
          <w:numId w:val="8"/>
        </w:numPr>
        <w:ind w:left="720" w:hanging="360"/>
        <w:rPr>
          <w:u w:val="none"/>
        </w:rPr>
      </w:pPr>
      <w:r w:rsidDel="00000000" w:rsidR="00000000" w:rsidRPr="00000000">
        <w:rPr>
          <w:rtl w:val="0"/>
        </w:rPr>
        <w:t xml:space="preserve"> ¿Existe un SBOM para modelos, adaptadores y datasets utilizados? (LLM03 / MITRE ATLAS AML.T0081)</w:t>
      </w:r>
    </w:p>
    <w:p w:rsidR="00000000" w:rsidDel="00000000" w:rsidP="00000000" w:rsidRDefault="00000000" w:rsidRPr="00000000" w14:paraId="00000032">
      <w:pPr>
        <w:pStyle w:val="Heading5"/>
        <w:rPr/>
      </w:pPr>
      <w:bookmarkStart w:colFirst="0" w:colLast="0" w:name="_ve90ede7af4n" w:id="11"/>
      <w:bookmarkEnd w:id="11"/>
      <w:r w:rsidDel="00000000" w:rsidR="00000000" w:rsidRPr="00000000">
        <w:rPr>
          <w:rtl w:val="0"/>
        </w:rPr>
        <w:t xml:space="preserve">Defensa en Runtime</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 ¿La ejecución de herramientas ocurre en MicroVMs aisladas (Firecracker/Kata)? (ASI05 / AML.T0086)</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 ¿Se ha deshabilitado la ejecución de funciones directas como eval()? (ASI05)</w:t>
      </w:r>
    </w:p>
    <w:p w:rsidR="00000000" w:rsidDel="00000000" w:rsidP="00000000" w:rsidRDefault="00000000" w:rsidRPr="00000000" w14:paraId="00000035">
      <w:pPr>
        <w:numPr>
          <w:ilvl w:val="0"/>
          <w:numId w:val="3"/>
        </w:numPr>
        <w:ind w:left="720" w:hanging="360"/>
        <w:rPr>
          <w:u w:val="none"/>
        </w:rPr>
      </w:pPr>
      <w:r w:rsidDel="00000000" w:rsidR="00000000" w:rsidRPr="00000000">
        <w:rPr>
          <w:rtl w:val="0"/>
        </w:rPr>
        <w:t xml:space="preserve"> ¿Existe un Kill-Switch instantáneo y auditable para cada clúster de agentes? (ASI10 / CISA)</w:t>
      </w:r>
    </w:p>
    <w:p w:rsidR="00000000" w:rsidDel="00000000" w:rsidP="00000000" w:rsidRDefault="00000000" w:rsidRPr="00000000" w14:paraId="00000036">
      <w:pPr>
        <w:pStyle w:val="Heading5"/>
        <w:rPr/>
      </w:pPr>
      <w:bookmarkStart w:colFirst="0" w:colLast="0" w:name="_rciphvuhylwv" w:id="12"/>
      <w:bookmarkEnd w:id="12"/>
      <w:r w:rsidDel="00000000" w:rsidR="00000000" w:rsidRPr="00000000">
        <w:rPr>
          <w:rtl w:val="0"/>
        </w:rPr>
        <w:t xml:space="preserve">Protección de Datos</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 ¿Se filtran instrucciones ocultas en documentos ingeridos (RAG/MCP)? (LLM01 / AML.T0080)</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 ¿Se audita la exfiltración de credenciales en el tráfico de salida? (AML.T0082 / AML.T0083)</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 ¿Los datos están cifrados en tránsito y computación (AES-256 + post-cuántico)? (CISA AI Data Sec)</w:t>
      </w:r>
    </w:p>
    <w:p w:rsidR="00000000" w:rsidDel="00000000" w:rsidP="00000000" w:rsidRDefault="00000000" w:rsidRPr="00000000" w14:paraId="0000003A">
      <w:pPr>
        <w:pStyle w:val="Heading5"/>
        <w:rPr/>
      </w:pPr>
      <w:bookmarkStart w:colFirst="0" w:colLast="0" w:name="_hd7jz5605ge" w:id="13"/>
      <w:bookmarkEnd w:id="13"/>
      <w:r w:rsidDel="00000000" w:rsidR="00000000" w:rsidRPr="00000000">
        <w:rPr>
          <w:rtl w:val="0"/>
        </w:rPr>
        <w:t xml:space="preserve">Auditoría y Gobernanza</w:t>
      </w:r>
    </w:p>
    <w:p w:rsidR="00000000" w:rsidDel="00000000" w:rsidP="00000000" w:rsidRDefault="00000000" w:rsidRPr="00000000" w14:paraId="0000003B">
      <w:pPr>
        <w:numPr>
          <w:ilvl w:val="0"/>
          <w:numId w:val="10"/>
        </w:numPr>
        <w:ind w:left="720" w:hanging="360"/>
        <w:rPr>
          <w:u w:val="none"/>
        </w:rPr>
      </w:pPr>
      <w:r w:rsidDel="00000000" w:rsidR="00000000" w:rsidRPr="00000000">
        <w:rPr>
          <w:rtl w:val="0"/>
        </w:rPr>
        <w:t xml:space="preserve"> ¿Se registran automáticamente todas las decisiones y llamadas a herramientas? (EU AI Act Art. 12)</w:t>
      </w:r>
    </w:p>
    <w:p w:rsidR="00000000" w:rsidDel="00000000" w:rsidP="00000000" w:rsidRDefault="00000000" w:rsidRPr="00000000" w14:paraId="0000003C">
      <w:pPr>
        <w:numPr>
          <w:ilvl w:val="0"/>
          <w:numId w:val="10"/>
        </w:numPr>
        <w:ind w:left="720" w:hanging="360"/>
        <w:rPr>
          <w:u w:val="none"/>
        </w:rPr>
      </w:pPr>
      <w:r w:rsidDel="00000000" w:rsidR="00000000" w:rsidRPr="00000000">
        <w:rPr>
          <w:rtl w:val="0"/>
        </w:rPr>
        <w:t xml:space="preserve"> ¿Los registros son inalterables mediante cadenas de hash o Merkle trees? (SOC 2 / ISO 27001)</w:t>
      </w:r>
    </w:p>
    <w:p w:rsidR="00000000" w:rsidDel="00000000" w:rsidP="00000000" w:rsidRDefault="00000000" w:rsidRPr="00000000" w14:paraId="0000003D">
      <w:pPr>
        <w:numPr>
          <w:ilvl w:val="0"/>
          <w:numId w:val="10"/>
        </w:numPr>
        <w:ind w:left="720" w:hanging="360"/>
        <w:rPr>
          <w:u w:val="none"/>
        </w:rPr>
      </w:pPr>
      <w:r w:rsidDel="00000000" w:rsidR="00000000" w:rsidRPr="00000000">
        <w:rPr>
          <w:rtl w:val="0"/>
        </w:rPr>
        <w:t xml:space="preserve"> ¿Se requiere aprobación humana fuera de banda para acciones irreversibles? (LLM06 / ASI09)La implementación de este marco representa nuestra resiliencia ante una amenaza que evoluciona al ritmo de la propia inteligencia que gobernamos. La mejora continua es nuestro único estado estable.</w:t>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