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kqqqf5jhodg" w:id="0"/>
      <w:bookmarkEnd w:id="0"/>
      <w:r w:rsidDel="00000000" w:rsidR="00000000" w:rsidRPr="00000000">
        <w:rPr>
          <w:rtl w:val="0"/>
        </w:rPr>
        <w:t xml:space="preserve">Especificación Técnica: Arquitecturas de Contención Física (Air-Gapped) para Infraestructuras de IA Crítica</w:t>
      </w:r>
    </w:p>
    <w:p w:rsidR="00000000" w:rsidDel="00000000" w:rsidP="00000000" w:rsidRDefault="00000000" w:rsidRPr="00000000" w14:paraId="00000002">
      <w:pPr>
        <w:pStyle w:val="Heading5"/>
        <w:rPr/>
      </w:pPr>
      <w:bookmarkStart w:colFirst="0" w:colLast="0" w:name="_fcrolmu22wqf" w:id="1"/>
      <w:bookmarkEnd w:id="1"/>
      <w:r w:rsidDel="00000000" w:rsidR="00000000" w:rsidRPr="00000000">
        <w:rPr>
          <w:rtl w:val="0"/>
        </w:rPr>
        <w:t xml:space="preserve">1. El Nuevo Paradigma de Amenazas en Agentes de IA</w:t>
      </w:r>
    </w:p>
    <w:p w:rsidR="00000000" w:rsidDel="00000000" w:rsidP="00000000" w:rsidRDefault="00000000" w:rsidRPr="00000000" w14:paraId="00000003">
      <w:pPr>
        <w:rPr/>
      </w:pPr>
      <w:r w:rsidDel="00000000" w:rsidR="00000000" w:rsidRPr="00000000">
        <w:rPr>
          <w:rtl w:val="0"/>
        </w:rPr>
        <w:t xml:space="preserve">Para mediados de 2026, la seguridad de los sistemas de Inteligencia Artificial ha evolucionado desde la protección de modelos estáticos hacia la contención de entidades autónomas capaces de razonamiento persistente. Los agentes de IA, caracterizados por su autonomía funcional y acceso directo a herramientas del sistema, han invalidado los perímetros de seguridad tradicionales. Al operar bajo un modelo donde la frontera entre instrucciones (código) y datos (input) colapsa —como lo define el riesgo  </w:t>
      </w:r>
      <w:r w:rsidDel="00000000" w:rsidR="00000000" w:rsidRPr="00000000">
        <w:rPr>
          <w:b w:val="1"/>
          <w:bCs w:val="1"/>
          <w:rtl w:val="0"/>
        </w:rPr>
        <w:t xml:space="preserve">ASI01 (Agent Goal Hijack)</w:t>
      </w:r>
      <w:r w:rsidDel="00000000" w:rsidR="00000000" w:rsidRPr="00000000">
        <w:rPr>
          <w:rtl w:val="0"/>
        </w:rPr>
        <w:t xml:space="preserve"> —, cualquier flujo de información externo se convierte en un vector potencial de ejecución de comandos. La persistencia de memoria y la capacidad de encadenar llamadas a herramientas permiten que ataques silentes se propaguen fuera del contexto de una sesión única, haciendo obsoleta la inspección de paquetes convencional.Esta crisis de contención se ve magnificada por la velocidad de integración corporativa. Según datos de Gartner, el  </w:t>
      </w:r>
      <w:r w:rsidDel="00000000" w:rsidR="00000000" w:rsidRPr="00000000">
        <w:rPr>
          <w:b w:val="1"/>
          <w:bCs w:val="1"/>
          <w:rtl w:val="0"/>
        </w:rPr>
        <w:t xml:space="preserve">40% de las aplicaciones empresariales incluirán agentes autónomos para finales de 2026</w:t>
      </w:r>
      <w:r w:rsidDel="00000000" w:rsidR="00000000" w:rsidRPr="00000000">
        <w:rPr>
          <w:rtl w:val="0"/>
        </w:rPr>
        <w:t xml:space="preserve"> . Este despliegue masivo ha generado un "vacío de contexto" en la superficie de ataque: las organizaciones están otorgando privilegios de ejecución a modelos probabilísticos sin una infraestructura de aislamiento que limite su capacidad de daño. La vulnerabilidad intrínseca del software para separar el control de los datos exige que la soberanía de la información se defienda, en última instancia, mediante el diseño físico de la infraestructura.</w:t>
      </w:r>
    </w:p>
    <w:p w:rsidR="00000000" w:rsidDel="00000000" w:rsidP="00000000" w:rsidRDefault="00000000" w:rsidRPr="00000000" w14:paraId="00000004">
      <w:pPr>
        <w:pStyle w:val="Heading5"/>
        <w:rPr/>
      </w:pPr>
      <w:bookmarkStart w:colFirst="0" w:colLast="0" w:name="_k8anyjk07lfo" w:id="2"/>
      <w:bookmarkEnd w:id="2"/>
      <w:r w:rsidDel="00000000" w:rsidR="00000000" w:rsidRPr="00000000">
        <w:rPr>
          <w:rtl w:val="0"/>
        </w:rPr>
        <w:t xml:space="preserve">2. Anatomía de la Exfiltración: El Fracaso de los Controles Lógicos</w:t>
      </w:r>
    </w:p>
    <w:p w:rsidR="00000000" w:rsidDel="00000000" w:rsidP="00000000" w:rsidRDefault="00000000" w:rsidRPr="00000000" w14:paraId="00000005">
      <w:pPr>
        <w:rPr/>
      </w:pPr>
      <w:r w:rsidDel="00000000" w:rsidR="00000000" w:rsidRPr="00000000">
        <w:rPr>
          <w:rtl w:val="0"/>
        </w:rPr>
        <w:t xml:space="preserve">La dependencia exclusiva de controles lógicos ha demostrado ser un riesgo inaceptable para sectores de misión crítica. Vulnerabilidades como  </w:t>
      </w:r>
      <w:r w:rsidDel="00000000" w:rsidR="00000000" w:rsidRPr="00000000">
        <w:rPr>
          <w:b w:val="1"/>
          <w:bCs w:val="1"/>
          <w:rtl w:val="0"/>
        </w:rPr>
        <w:t xml:space="preserve">EchoLeak (CVE-2025-32711)</w:t>
      </w:r>
      <w:r w:rsidDel="00000000" w:rsidR="00000000" w:rsidRPr="00000000">
        <w:rPr>
          <w:rtl w:val="0"/>
        </w:rPr>
        <w:t xml:space="preserve">  y  </w:t>
      </w:r>
      <w:r w:rsidDel="00000000" w:rsidR="00000000" w:rsidRPr="00000000">
        <w:rPr>
          <w:b w:val="1"/>
          <w:bCs w:val="1"/>
          <w:rtl w:val="0"/>
        </w:rPr>
        <w:t xml:space="preserve">ShadowLeak</w:t>
      </w:r>
      <w:r w:rsidDel="00000000" w:rsidR="00000000" w:rsidRPr="00000000">
        <w:rPr>
          <w:rtl w:val="0"/>
        </w:rPr>
        <w:t xml:space="preserve">  han evidenciado que incluso las nubes públicas más robustas sufren del colapso del modelo de responsabilidad compartida frente a la inyección indirecta de prompts (XPIA). EchoLeak, con una severidad  </w:t>
      </w:r>
      <w:r w:rsidDel="00000000" w:rsidR="00000000" w:rsidRPr="00000000">
        <w:rPr>
          <w:b w:val="1"/>
          <w:bCs w:val="1"/>
          <w:rtl w:val="0"/>
        </w:rPr>
        <w:t xml:space="preserve">CVSS de 9.3</w:t>
      </w:r>
      <w:r w:rsidDel="00000000" w:rsidR="00000000" w:rsidRPr="00000000">
        <w:rPr>
          <w:rtl w:val="0"/>
        </w:rPr>
        <w:t xml:space="preserve"> , no solo expuso datos, sino que demostró que las Políticas de Seguridad de Contenido (CSP) y los clasificadores de entrada son eludibles mediante técnicas de ofuscación avanzadas.</w:t>
      </w:r>
      <w:r w:rsidDel="00000000" w:rsidR="00000000" w:rsidRPr="00000000">
        <w:rPr>
          <w:b w:val="1"/>
          <w:bCs w:val="1"/>
          <w:rtl w:val="0"/>
        </w:rPr>
        <w:t xml:space="preserve">Mecanismos de Bypass en EchoLeak (CVE-2025-32711)</w:t>
      </w:r>
      <w:r w:rsidDel="00000000" w:rsidR="00000000" w:rsidRPr="00000000">
        <w:rPr>
          <w:rtl w:val="0"/>
        </w:rPr>
        <w:t xml:space="preserve">Basándose en el análisis forense de la vulnerabilidad, el ataque logra el egreso de datos mediante cuatro etapas de evasión:</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Evasión de Clasificadores XPIA:</w:t>
      </w:r>
      <w:r w:rsidDel="00000000" w:rsidR="00000000" w:rsidRPr="00000000">
        <w:rPr>
          <w:rtl w:val="0"/>
        </w:rPr>
        <w:t xml:space="preserve">  Uso de lenguaje persuasivo y técnico para enmascarar instrucciones maliciosas como requisitos de cumplimiento.</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Bypass de Filtros Markdown:</w:t>
      </w:r>
      <w:r w:rsidDel="00000000" w:rsidR="00000000" w:rsidRPr="00000000">
        <w:rPr>
          <w:rtl w:val="0"/>
        </w:rPr>
        <w:t xml:space="preserve">  Empleo de enlaces de estilo de referencia que evaden los redactores de URL estándar.</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Ejecución Zero-Click:</w:t>
      </w:r>
      <w:r w:rsidDel="00000000" w:rsidR="00000000" w:rsidRPr="00000000">
        <w:rPr>
          <w:rtl w:val="0"/>
        </w:rPr>
        <w:t xml:space="preserve">  Aprovechamiento de la carga automática de imágenes referenciadas para exfiltrar tokens sin interacción del usuario.</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Bypass de CSP mediante Proxies Permitidos:</w:t>
      </w:r>
      <w:r w:rsidDel="00000000" w:rsidR="00000000" w:rsidRPr="00000000">
        <w:rPr>
          <w:rtl w:val="0"/>
        </w:rPr>
        <w:t xml:space="preserve">  Redirección del tráfico exfiltrado a través del dominio asyncgw.teams.microsoft.com/urlp. Al estar en la lista blanca de Microsoft Teams, el CSP no bloquea la salida de datos hacia el atacante.</w:t>
      </w:r>
      <w:r w:rsidDel="00000000" w:rsidR="00000000" w:rsidRPr="00000000">
        <w:rPr>
          <w:b w:val="1"/>
          <w:bCs w:val="1"/>
          <w:rtl w:val="0"/>
        </w:rPr>
        <w:t xml:space="preserve">Comparativa de Impacto: Vectores de Exfiltración en Agentes</w:t>
      </w:r>
      <w:r w:rsidDel="00000000" w:rsidR="00000000" w:rsidRPr="00000000">
        <w:rPr>
          <w:rtl w:val="0"/>
        </w:rPr>
        <w:t xml:space="preserve">| Característica | EchoLeak (CVE-2025-32711) | ShadowLeak | Referencia de la Fuente || ------ | ------ | ------ | ------ || </w:t>
      </w:r>
      <w:r w:rsidDel="00000000" w:rsidR="00000000" w:rsidRPr="00000000">
        <w:rPr>
          <w:b w:val="1"/>
          <w:bCs w:val="1"/>
          <w:rtl w:val="0"/>
        </w:rPr>
        <w:t xml:space="preserve">Objetivo</w:t>
      </w:r>
      <w:r w:rsidDel="00000000" w:rsidR="00000000" w:rsidRPr="00000000">
        <w:rPr>
          <w:rtl w:val="0"/>
        </w:rPr>
        <w:t xml:space="preserve"> | Microsoft 365 Copilot | ChatGPT Deep Research | arXiv:2509.10540 / Zenity || </w:t>
      </w:r>
      <w:r w:rsidDel="00000000" w:rsidR="00000000" w:rsidRPr="00000000">
        <w:rPr>
          <w:b w:val="1"/>
          <w:bCs w:val="1"/>
          <w:rtl w:val="0"/>
        </w:rPr>
        <w:t xml:space="preserve">Mecanismo</w:t>
      </w:r>
      <w:r w:rsidDel="00000000" w:rsidR="00000000" w:rsidRPr="00000000">
        <w:rPr>
          <w:rtl w:val="0"/>
        </w:rPr>
        <w:t xml:space="preserve"> | Proxies de Teams (asyncgw) | Fuentes invisibles en HTML | The Hacker News (2025) || </w:t>
      </w:r>
      <w:r w:rsidDel="00000000" w:rsidR="00000000" w:rsidRPr="00000000">
        <w:rPr>
          <w:b w:val="1"/>
          <w:bCs w:val="1"/>
          <w:rtl w:val="0"/>
        </w:rPr>
        <w:t xml:space="preserve">Tipo de Inyección</w:t>
      </w:r>
      <w:r w:rsidDel="00000000" w:rsidR="00000000" w:rsidRPr="00000000">
        <w:rPr>
          <w:rtl w:val="0"/>
        </w:rPr>
        <w:t xml:space="preserve"> | Indirecta, zero-click | Indirecta (vía Gmail/HTML) | MITRE ATLAS AML.T0080 || </w:t>
      </w:r>
      <w:r w:rsidDel="00000000" w:rsidR="00000000" w:rsidRPr="00000000">
        <w:rPr>
          <w:b w:val="1"/>
          <w:bCs w:val="1"/>
          <w:rtl w:val="0"/>
        </w:rPr>
        <w:t xml:space="preserve">Resultado</w:t>
      </w:r>
      <w:r w:rsidDel="00000000" w:rsidR="00000000" w:rsidRPr="00000000">
        <w:rPr>
          <w:rtl w:val="0"/>
        </w:rPr>
        <w:t xml:space="preserve"> | Exfiltración de chats | Exfiltración de correos | Tasa de éxito: 100% (Test) |</w:t>
      </w:r>
    </w:p>
    <w:p w:rsidR="00000000" w:rsidDel="00000000" w:rsidP="00000000" w:rsidRDefault="00000000" w:rsidRPr="00000000" w14:paraId="0000000A">
      <w:pPr>
        <w:rPr/>
      </w:pPr>
      <w:r w:rsidDel="00000000" w:rsidR="00000000" w:rsidRPr="00000000">
        <w:rPr>
          <w:rtl w:val="0"/>
        </w:rPr>
        <w:t xml:space="preserve">Este fracaso sistémico de los "guardias lógicos" confirma que, si existe una ruta física hacia el exterior, un agente comprometido la encontrará. La soberanía real de los datos en defensa y finanzas de alto nivel requiere la eliminación total del canal de egreso.</w:t>
      </w:r>
    </w:p>
    <w:p w:rsidR="00000000" w:rsidDel="00000000" w:rsidP="00000000" w:rsidRDefault="00000000" w:rsidRPr="00000000" w14:paraId="0000000B">
      <w:pPr>
        <w:pStyle w:val="Heading5"/>
        <w:rPr/>
      </w:pPr>
      <w:bookmarkStart w:colFirst="0" w:colLast="0" w:name="_h6ptx5ptffww" w:id="3"/>
      <w:bookmarkEnd w:id="3"/>
      <w:r w:rsidDel="00000000" w:rsidR="00000000" w:rsidRPr="00000000">
        <w:rPr>
          <w:rtl w:val="0"/>
        </w:rPr>
        <w:t xml:space="preserve">3. Diseño de la Arquitectura Air-Gapped (Aislamiento Físico)</w:t>
      </w:r>
    </w:p>
    <w:p w:rsidR="00000000" w:rsidDel="00000000" w:rsidP="00000000" w:rsidRDefault="00000000" w:rsidRPr="00000000" w14:paraId="0000000C">
      <w:pPr>
        <w:rPr/>
      </w:pPr>
      <w:r w:rsidDel="00000000" w:rsidR="00000000" w:rsidRPr="00000000">
        <w:rPr>
          <w:rtl w:val="0"/>
        </w:rPr>
        <w:t xml:space="preserve">La arquitectura  </w:t>
      </w:r>
      <w:r w:rsidDel="00000000" w:rsidR="00000000" w:rsidRPr="00000000">
        <w:rPr>
          <w:i w:val="1"/>
          <w:iCs w:val="1"/>
          <w:rtl w:val="0"/>
        </w:rPr>
        <w:t xml:space="preserve">Air-Gapped</w:t>
      </w:r>
      <w:r w:rsidDel="00000000" w:rsidR="00000000" w:rsidRPr="00000000">
        <w:rPr>
          <w:rtl w:val="0"/>
        </w:rPr>
        <w:t xml:space="preserve">  se define como la "última línea de defensa" estratégica. Su propósito no es detener la inyección —un problema de software aún no resuelto en 2026— sino neutralizar el radio de explosión ( </w:t>
      </w:r>
      <w:r w:rsidDel="00000000" w:rsidR="00000000" w:rsidRPr="00000000">
        <w:rPr>
          <w:i w:val="1"/>
          <w:iCs w:val="1"/>
          <w:rtl w:val="0"/>
        </w:rPr>
        <w:t xml:space="preserve">blast radius</w:t>
      </w:r>
      <w:r w:rsidDel="00000000" w:rsidR="00000000" w:rsidRPr="00000000">
        <w:rPr>
          <w:rtl w:val="0"/>
        </w:rPr>
        <w:t xml:space="preserve"> ) impidiendo físicamente que cualquier dato abandone el entorno seguro. En esta configuración, la ejecución se realiza mediante  </w:t>
      </w:r>
      <w:r w:rsidDel="00000000" w:rsidR="00000000" w:rsidRPr="00000000">
        <w:rPr>
          <w:b w:val="1"/>
          <w:bCs w:val="1"/>
          <w:rtl w:val="0"/>
        </w:rPr>
        <w:t xml:space="preserve">microVMs (como Firecracker o Kata Containers)</w:t>
      </w:r>
      <w:r w:rsidDel="00000000" w:rsidR="00000000" w:rsidRPr="00000000">
        <w:rPr>
          <w:rtl w:val="0"/>
        </w:rPr>
        <w:t xml:space="preserve"> , proporcionando un sandboxing de hardware que aísla cada tarea del agente.</w:t>
      </w:r>
      <w:r w:rsidDel="00000000" w:rsidR="00000000" w:rsidRPr="00000000">
        <w:rPr>
          <w:b w:val="1"/>
          <w:bCs w:val="1"/>
          <w:rtl w:val="0"/>
        </w:rPr>
        <w:t xml:space="preserve">Lista de Verificación Técnica: Postura de Egreso Nulo</w:t>
      </w:r>
      <w:r w:rsidDel="00000000" w:rsidR="00000000" w:rsidRPr="00000000">
        <w:rPr>
          <w:rtl w:val="0"/>
        </w:rPr>
        <w:t xml:space="preserve">Para satisfacer una arquitectura de soberanía estricta, el entorno debe carecer de:</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Conectividad WAN:</w:t>
      </w:r>
      <w:r w:rsidDel="00000000" w:rsidR="00000000" w:rsidRPr="00000000">
        <w:rPr>
          <w:rtl w:val="0"/>
        </w:rPr>
        <w:t xml:space="preserve">  Ausencia física de enlaces a redes públicas.</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Resolución DNS Externa:</w:t>
      </w:r>
      <w:r w:rsidDel="00000000" w:rsidR="00000000" w:rsidRPr="00000000">
        <w:rPr>
          <w:rtl w:val="0"/>
        </w:rPr>
        <w:t xml:space="preserve">  El entorno solo reconoce zonas de confianza locales.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Sincronización NTP Externa:</w:t>
      </w:r>
      <w:r w:rsidDel="00000000" w:rsidR="00000000" w:rsidRPr="00000000">
        <w:rPr>
          <w:rtl w:val="0"/>
        </w:rPr>
        <w:t xml:space="preserve">  Uso de relojes atómicos locales o servidores NTP internos para evitar canales laterales.</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Callbacks de Telemetría:</w:t>
      </w:r>
      <w:r w:rsidDel="00000000" w:rsidR="00000000" w:rsidRPr="00000000">
        <w:rPr>
          <w:rtl w:val="0"/>
        </w:rPr>
        <w:t xml:space="preserve">  Bloqueo total de paquetes de "heartbeat" hacia fabricantes, eliminando riesgos de exfiltración esteganográfica.</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Validación de Licencias Online:</w:t>
      </w:r>
      <w:r w:rsidDel="00000000" w:rsidR="00000000" w:rsidRPr="00000000">
        <w:rPr>
          <w:rtl w:val="0"/>
        </w:rPr>
        <w:t xml:space="preserve">  Empleo exclusivo de modelos con pesos locales ( </w:t>
      </w:r>
      <w:r w:rsidDel="00000000" w:rsidR="00000000" w:rsidRPr="00000000">
        <w:rPr>
          <w:i w:val="1"/>
          <w:iCs w:val="1"/>
          <w:rtl w:val="0"/>
        </w:rPr>
        <w:t xml:space="preserve">open-weights</w:t>
      </w:r>
      <w:r w:rsidDel="00000000" w:rsidR="00000000" w:rsidRPr="00000000">
        <w:rPr>
          <w:rtl w:val="0"/>
        </w:rPr>
        <w:t xml:space="preserve"> ) y licencias offline.Al eliminar el canal de egreso, ataques como  </w:t>
      </w:r>
      <w:r w:rsidDel="00000000" w:rsidR="00000000" w:rsidRPr="00000000">
        <w:rPr>
          <w:b w:val="1"/>
          <w:bCs w:val="1"/>
          <w:rtl w:val="0"/>
        </w:rPr>
        <w:t xml:space="preserve">SSRF</w:t>
      </w:r>
      <w:r w:rsidDel="00000000" w:rsidR="00000000" w:rsidRPr="00000000">
        <w:rPr>
          <w:rtl w:val="0"/>
        </w:rPr>
        <w:t xml:space="preserve">  y la exfiltración vía invocación de herramientas ( </w:t>
      </w:r>
      <w:r w:rsidDel="00000000" w:rsidR="00000000" w:rsidRPr="00000000">
        <w:rPr>
          <w:b w:val="1"/>
          <w:bCs w:val="1"/>
          <w:rtl w:val="0"/>
        </w:rPr>
        <w:t xml:space="preserve">MITRE ATLAS AML.T0086</w:t>
      </w:r>
      <w:r w:rsidDel="00000000" w:rsidR="00000000" w:rsidRPr="00000000">
        <w:rPr>
          <w:rtl w:val="0"/>
        </w:rPr>
        <w:t xml:space="preserve"> ) se vuelven "arquitectónicamente imposibles". Incluso si el agente es manipulado para "llamar a casa", el intento de conexión falla en la capa física al no existir rutas hacia el exterior.</w:t>
      </w:r>
    </w:p>
    <w:p w:rsidR="00000000" w:rsidDel="00000000" w:rsidP="00000000" w:rsidRDefault="00000000" w:rsidRPr="00000000" w14:paraId="00000012">
      <w:pPr>
        <w:pStyle w:val="Heading5"/>
        <w:rPr/>
      </w:pPr>
      <w:bookmarkStart w:colFirst="0" w:colLast="0" w:name="_m7x6tsd7wz08" w:id="4"/>
      <w:bookmarkEnd w:id="4"/>
      <w:r w:rsidDel="00000000" w:rsidR="00000000" w:rsidRPr="00000000">
        <w:rPr>
          <w:rtl w:val="0"/>
        </w:rPr>
        <w:t xml:space="preserve">4. Gestión de Identidades No Humanas (NHI) y Privilegios</w:t>
      </w:r>
    </w:p>
    <w:p w:rsidR="00000000" w:rsidDel="00000000" w:rsidP="00000000" w:rsidRDefault="00000000" w:rsidRPr="00000000" w14:paraId="00000013">
      <w:pPr>
        <w:rPr/>
      </w:pPr>
      <w:r w:rsidDel="00000000" w:rsidR="00000000" w:rsidRPr="00000000">
        <w:rPr>
          <w:rtl w:val="0"/>
        </w:rPr>
        <w:t xml:space="preserve">En 2026, la escala de identidades no humanas ha alcanzado una proporción crítica de  </w:t>
      </w:r>
      <w:r w:rsidDel="00000000" w:rsidR="00000000" w:rsidRPr="00000000">
        <w:rPr>
          <w:b w:val="1"/>
          <w:bCs w:val="1"/>
          <w:rtl w:val="0"/>
        </w:rPr>
        <w:t xml:space="preserve">109 identidades de máquina por cada humano</w:t>
      </w:r>
      <w:r w:rsidDel="00000000" w:rsidR="00000000" w:rsidRPr="00000000">
        <w:rPr>
          <w:rtl w:val="0"/>
        </w:rPr>
        <w:t xml:space="preserve"> . La gestión de privilegios de agentes de IA debe basarse en el estándar  </w:t>
      </w:r>
      <w:r w:rsidDel="00000000" w:rsidR="00000000" w:rsidRPr="00000000">
        <w:rPr>
          <w:b w:val="1"/>
          <w:bCs w:val="1"/>
          <w:rtl w:val="0"/>
        </w:rPr>
        <w:t xml:space="preserve">SPIFFE/SPIRE</w:t>
      </w:r>
      <w:r w:rsidDel="00000000" w:rsidR="00000000" w:rsidRPr="00000000">
        <w:rPr>
          <w:rtl w:val="0"/>
        </w:rPr>
        <w:t xml:space="preserve">  para la atestación de identidad en entornos aislados, tratando a cada flujo de trabajo como un principal único con credenciales efímeras.</w:t>
      </w:r>
      <w:r w:rsidDel="00000000" w:rsidR="00000000" w:rsidRPr="00000000">
        <w:rPr>
          <w:b w:val="1"/>
          <w:bCs w:val="1"/>
          <w:rtl w:val="0"/>
        </w:rPr>
        <w:t xml:space="preserve">Matriz de Control de Acceso para NHI en IA</w:t>
      </w:r>
      <w:r w:rsidDel="00000000" w:rsidR="00000000" w:rsidRPr="00000000">
        <w:rPr>
          <w:rtl w:val="0"/>
        </w:rPr>
        <w:t xml:space="preserve">| Control Recomendado | Especificación Técnica | Estándar / Protocolo || ------ | ------ | ------ || </w:t>
      </w:r>
      <w:r w:rsidDel="00000000" w:rsidR="00000000" w:rsidRPr="00000000">
        <w:rPr>
          <w:b w:val="1"/>
          <w:bCs w:val="1"/>
          <w:rtl w:val="0"/>
        </w:rPr>
        <w:t xml:space="preserve">Identidad Unívoca</w:t>
      </w:r>
      <w:r w:rsidDel="00000000" w:rsidR="00000000" w:rsidRPr="00000000">
        <w:rPr>
          <w:rtl w:val="0"/>
        </w:rPr>
        <w:t xml:space="preserve"> | Atestación criptográfica del agente y su carga de trabajo. | SPIFFE/SPIRE || </w:t>
      </w:r>
      <w:r w:rsidDel="00000000" w:rsidR="00000000" w:rsidRPr="00000000">
        <w:rPr>
          <w:b w:val="1"/>
          <w:bCs w:val="1"/>
          <w:rtl w:val="0"/>
        </w:rPr>
        <w:t xml:space="preserve">Vida Útil del Token</w:t>
      </w:r>
      <w:r w:rsidDel="00000000" w:rsidR="00000000" w:rsidRPr="00000000">
        <w:rPr>
          <w:rtl w:val="0"/>
        </w:rPr>
        <w:t xml:space="preserve"> | Emisión Just-in-Time (JIT) con validez de minutos. | NIST SP 800-207A || </w:t>
      </w:r>
      <w:r w:rsidDel="00000000" w:rsidR="00000000" w:rsidRPr="00000000">
        <w:rPr>
          <w:b w:val="1"/>
          <w:bCs w:val="1"/>
          <w:rtl w:val="0"/>
        </w:rPr>
        <w:t xml:space="preserve">Delegación vía RFC 8693</w:t>
      </w:r>
      <w:r w:rsidDel="00000000" w:rsidR="00000000" w:rsidRPr="00000000">
        <w:rPr>
          <w:rtl w:val="0"/>
        </w:rPr>
        <w:t xml:space="preserve"> | Separación clara de la identidad del usuario y del agente. | Token Exchange || </w:t>
      </w:r>
      <w:r w:rsidDel="00000000" w:rsidR="00000000" w:rsidRPr="00000000">
        <w:rPr>
          <w:b w:val="1"/>
          <w:bCs w:val="1"/>
          <w:rtl w:val="0"/>
        </w:rPr>
        <w:t xml:space="preserve">Autoridad Efectiva</w:t>
      </w:r>
      <w:r w:rsidDel="00000000" w:rsidR="00000000" w:rsidRPr="00000000">
        <w:rPr>
          <w:rtl w:val="0"/>
        </w:rPr>
        <w:t xml:space="preserve"> | El permiso final es la  </w:t>
      </w:r>
      <w:r w:rsidDel="00000000" w:rsidR="00000000" w:rsidRPr="00000000">
        <w:rPr>
          <w:b w:val="1"/>
          <w:bCs w:val="1"/>
          <w:rtl w:val="0"/>
        </w:rPr>
        <w:t xml:space="preserve">intersección</w:t>
      </w:r>
      <w:r w:rsidDel="00000000" w:rsidR="00000000" w:rsidRPr="00000000">
        <w:rPr>
          <w:rtl w:val="0"/>
        </w:rPr>
        <w:t xml:space="preserve">  entre usuario y agente. | Defensa contra "Confused Deputy" |</w:t>
      </w:r>
    </w:p>
    <w:p w:rsidR="00000000" w:rsidDel="00000000" w:rsidP="00000000" w:rsidRDefault="00000000" w:rsidRPr="00000000" w14:paraId="00000014">
      <w:pPr>
        <w:rPr/>
      </w:pPr>
      <w:r w:rsidDel="00000000" w:rsidR="00000000" w:rsidRPr="00000000">
        <w:rPr>
          <w:b w:val="1"/>
          <w:bCs w:val="1"/>
          <w:rtl w:val="0"/>
        </w:rPr>
        <w:t xml:space="preserve">Mitigación de "Agencia Excesiva" mediante "Plan-then-Execute"</w:t>
      </w:r>
      <w:r w:rsidDel="00000000" w:rsidR="00000000" w:rsidRPr="00000000">
        <w:rPr>
          <w:rtl w:val="0"/>
        </w:rPr>
        <w:t xml:space="preserve">La agencia excesiva (LLM06:2025) se combate desvinculando la deliberación de la acción. El modelo  </w:t>
      </w:r>
      <w:r w:rsidDel="00000000" w:rsidR="00000000" w:rsidRPr="00000000">
        <w:rPr>
          <w:b w:val="1"/>
          <w:bCs w:val="1"/>
          <w:rtl w:val="0"/>
        </w:rPr>
        <w:t xml:space="preserve">"Plan-then-Execute"</w:t>
      </w:r>
      <w:r w:rsidDel="00000000" w:rsidR="00000000" w:rsidRPr="00000000">
        <w:rPr>
          <w:rtl w:val="0"/>
        </w:rPr>
        <w:t xml:space="preserve">  exige que el agente genere un plan de acción en lenguaje estructurado, el cual debe ser validado por un supervisor (humano o lógico) antes de que las herramientas reciban la orden de ejecución. Esto garantiza que las capacidades del agente no excedan la tarea asignada.</w:t>
      </w:r>
    </w:p>
    <w:p w:rsidR="00000000" w:rsidDel="00000000" w:rsidP="00000000" w:rsidRDefault="00000000" w:rsidRPr="00000000" w14:paraId="00000015">
      <w:pPr>
        <w:pStyle w:val="Heading5"/>
        <w:rPr/>
      </w:pPr>
      <w:bookmarkStart w:colFirst="0" w:colLast="0" w:name="_bdq22nhjjhkp" w:id="5"/>
      <w:bookmarkEnd w:id="5"/>
      <w:r w:rsidDel="00000000" w:rsidR="00000000" w:rsidRPr="00000000">
        <w:rPr>
          <w:rtl w:val="0"/>
        </w:rPr>
        <w:t xml:space="preserve">5. Soberanía de Datos y Cumplimiento Regulatorio</w:t>
      </w:r>
    </w:p>
    <w:p w:rsidR="00000000" w:rsidDel="00000000" w:rsidP="00000000" w:rsidRDefault="00000000" w:rsidRPr="00000000" w14:paraId="00000016">
      <w:pPr>
        <w:rPr>
          <w:b w:val="1"/>
          <w:bCs w:val="1"/>
        </w:rPr>
      </w:pPr>
      <w:r w:rsidDel="00000000" w:rsidR="00000000" w:rsidRPr="00000000">
        <w:rPr>
          <w:rtl w:val="0"/>
        </w:rPr>
        <w:t xml:space="preserve">El Artículo 12 del  </w:t>
      </w:r>
      <w:r w:rsidDel="00000000" w:rsidR="00000000" w:rsidRPr="00000000">
        <w:rPr>
          <w:b w:val="1"/>
          <w:bCs w:val="1"/>
          <w:rtl w:val="0"/>
        </w:rPr>
        <w:t xml:space="preserve">EU AI Act</w:t>
      </w:r>
      <w:r w:rsidDel="00000000" w:rsidR="00000000" w:rsidRPr="00000000">
        <w:rPr>
          <w:rtl w:val="0"/>
        </w:rPr>
        <w:t xml:space="preserve">  establece la obligatoriedad de registros de auditoría automáticos y persistentes para sistemas de alto riesgo. Tras el acuerdo político del  </w:t>
      </w:r>
      <w:r w:rsidDel="00000000" w:rsidR="00000000" w:rsidRPr="00000000">
        <w:rPr>
          <w:b w:val="1"/>
          <w:bCs w:val="1"/>
          <w:rtl w:val="0"/>
        </w:rPr>
        <w:t xml:space="preserve">7 de mayo de 2026</w:t>
      </w:r>
      <w:r w:rsidDel="00000000" w:rsidR="00000000" w:rsidRPr="00000000">
        <w:rPr>
          <w:rtl w:val="0"/>
        </w:rPr>
        <w:t xml:space="preserve"> , se ha fijado el  </w:t>
      </w:r>
      <w:r w:rsidDel="00000000" w:rsidR="00000000" w:rsidRPr="00000000">
        <w:rPr>
          <w:b w:val="1"/>
          <w:bCs w:val="1"/>
          <w:rtl w:val="0"/>
        </w:rPr>
        <w:t xml:space="preserve">2 de diciembre de 2027</w:t>
      </w:r>
      <w:r w:rsidDel="00000000" w:rsidR="00000000" w:rsidRPr="00000000">
        <w:rPr>
          <w:rtl w:val="0"/>
        </w:rPr>
        <w:t xml:space="preserve">  como la fecha límite definitiva para que los sistemas cumplan con estos requisitos de registro forense.</w:t>
      </w:r>
      <w:r w:rsidDel="00000000" w:rsidR="00000000" w:rsidRPr="00000000">
        <w:rPr>
          <w:b w:val="1"/>
          <w:bCs w:val="1"/>
          <w:rtl w:val="0"/>
        </w:rPr>
        <w:t xml:space="preserve">Campos Obligatorios de Registro (Modelo de Acceso Soberano)</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Identidad del Agente:</w:t>
      </w:r>
      <w:r w:rsidDel="00000000" w:rsidR="00000000" w:rsidRPr="00000000">
        <w:rPr>
          <w:rtl w:val="0"/>
        </w:rPr>
        <w:t xml:space="preserve">  Credencial única vinculada al proceso.</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Autorizador Humano:</w:t>
      </w:r>
      <w:r w:rsidDel="00000000" w:rsidR="00000000" w:rsidRPr="00000000">
        <w:rPr>
          <w:rtl w:val="0"/>
        </w:rPr>
        <w:t xml:space="preserve">  Identidad que delegó el flujo de trabajo.</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Datos Accedidos:</w:t>
      </w:r>
      <w:r w:rsidDel="00000000" w:rsidR="00000000" w:rsidRPr="00000000">
        <w:rPr>
          <w:rtl w:val="0"/>
        </w:rPr>
        <w:t xml:space="preserve">  Identificadores y clasificación de seguridad.</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Operación:</w:t>
      </w:r>
      <w:r w:rsidDel="00000000" w:rsidR="00000000" w:rsidRPr="00000000">
        <w:rPr>
          <w:rtl w:val="0"/>
        </w:rPr>
        <w:t xml:space="preserve">  Acción ejecutada (lectura, escritura, borrado).</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Resultado de Política:</w:t>
      </w:r>
      <w:r w:rsidDel="00000000" w:rsidR="00000000" w:rsidRPr="00000000">
        <w:rPr>
          <w:rtl w:val="0"/>
        </w:rPr>
        <w:t xml:space="preserve">  Justificación de permiso o denegación.</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Marca de Tiempo Inalterable:</w:t>
      </w:r>
      <w:r w:rsidDel="00000000" w:rsidR="00000000" w:rsidRPr="00000000">
        <w:rPr>
          <w:rtl w:val="0"/>
        </w:rPr>
        <w:t xml:space="preserve">  Sello temporal sincronizado localmente.</w:t>
      </w:r>
      <w:r w:rsidDel="00000000" w:rsidR="00000000" w:rsidRPr="00000000">
        <w:rPr>
          <w:b w:val="1"/>
          <w:bCs w:val="1"/>
          <w:rtl w:val="0"/>
        </w:rPr>
        <w:t xml:space="preserve">Arquitectura de Auditoría Verificable</w:t>
      </w:r>
      <w:r w:rsidDel="00000000" w:rsidR="00000000" w:rsidRPr="00000000">
        <w:rPr>
          <w:rtl w:val="0"/>
        </w:rPr>
        <w:t xml:space="preserve">Para garantizar que los registros sean "a prueba de manipulaciones" (exigencia de SOC 2 e ISO 27001), se deben implementar cadenas de hash  </w:t>
      </w:r>
      <w:r w:rsidDel="00000000" w:rsidR="00000000" w:rsidRPr="00000000">
        <w:rPr>
          <w:b w:val="1"/>
          <w:bCs w:val="1"/>
          <w:rtl w:val="0"/>
        </w:rPr>
        <w:t xml:space="preserve">SHA-256</w:t>
      </w:r>
      <w:r w:rsidDel="00000000" w:rsidR="00000000" w:rsidRPr="00000000">
        <w:rPr>
          <w:rtl w:val="0"/>
        </w:rPr>
        <w:t xml:space="preserve">  y  </w:t>
      </w:r>
      <w:r w:rsidDel="00000000" w:rsidR="00000000" w:rsidRPr="00000000">
        <w:rPr>
          <w:b w:val="1"/>
          <w:bCs w:val="1"/>
          <w:rtl w:val="0"/>
        </w:rPr>
        <w:t xml:space="preserve">Árboles de Merkle</w:t>
      </w:r>
      <w:r w:rsidDel="00000000" w:rsidR="00000000" w:rsidRPr="00000000">
        <w:rPr>
          <w:rtl w:val="0"/>
        </w:rPr>
        <w:t xml:space="preserve"> . Esta estructura permite realizar pruebas de inclusión con una eficiencia de  </w:t>
      </w:r>
      <w:r w:rsidDel="00000000" w:rsidR="00000000" w:rsidRPr="00000000">
        <w:rPr>
          <w:b w:val="1"/>
          <w:bCs w:val="1"/>
          <w:rtl w:val="0"/>
        </w:rPr>
        <w:t xml:space="preserve">O(log n)</w:t>
      </w:r>
      <w:r w:rsidDel="00000000" w:rsidR="00000000" w:rsidRPr="00000000">
        <w:rPr>
          <w:rtl w:val="0"/>
        </w:rPr>
        <w:t xml:space="preserve"> , permitiendo que un auditor valide la integridad de millones de eventos en segundos sin necesidad de procesar todo el conjunto de datos, garantizando que el historial de acciones del agente no ha sido alterado retroactivamente.</w:t>
      </w:r>
    </w:p>
    <w:p w:rsidR="00000000" w:rsidDel="00000000" w:rsidP="00000000" w:rsidRDefault="00000000" w:rsidRPr="00000000" w14:paraId="0000001D">
      <w:pPr>
        <w:pStyle w:val="Heading5"/>
        <w:rPr/>
      </w:pPr>
      <w:bookmarkStart w:colFirst="0" w:colLast="0" w:name="_ty1gbzfx6j6o" w:id="6"/>
      <w:bookmarkEnd w:id="6"/>
      <w:r w:rsidDel="00000000" w:rsidR="00000000" w:rsidRPr="00000000">
        <w:rPr>
          <w:rtl w:val="0"/>
        </w:rPr>
        <w:t xml:space="preserve">6. Conclusiones y Hoja de Ruta de Implementación</w:t>
      </w:r>
    </w:p>
    <w:p w:rsidR="00000000" w:rsidDel="00000000" w:rsidP="00000000" w:rsidRDefault="00000000" w:rsidRPr="00000000" w14:paraId="0000001E">
      <w:pPr>
        <w:rPr/>
      </w:pPr>
      <w:r w:rsidDel="00000000" w:rsidR="00000000" w:rsidRPr="00000000">
        <w:rPr>
          <w:rtl w:val="0"/>
        </w:rPr>
        <w:t xml:space="preserve">La arquitectura Air-Gapped no es una panacea; si bien neutraliza la exfiltración externa, no previene el envenenamiento de datos internos ni la inyección de prompts desde el origen. Sin embargo, para infraestructuras críticas, representa la única postura de seguridad que ofrece garantías físicas de contención.</w:t>
      </w:r>
      <w:r w:rsidDel="00000000" w:rsidR="00000000" w:rsidRPr="00000000">
        <w:rPr>
          <w:b w:val="1"/>
          <w:bCs w:val="1"/>
          <w:rtl w:val="0"/>
        </w:rPr>
        <w:t xml:space="preserve">Mandatos Ejecutivos (Basados en la guía CISA/Five Eyes del 01/05/2026)</w:t>
      </w:r>
      <w:r w:rsidDel="00000000" w:rsidR="00000000" w:rsidRPr="00000000">
        <w:rPr>
          <w:rtl w:val="0"/>
        </w:rPr>
        <w:t xml:space="preserve">De acuerdo con la guía  </w:t>
      </w:r>
      <w:r w:rsidDel="00000000" w:rsidR="00000000" w:rsidRPr="00000000">
        <w:rPr>
          <w:i w:val="1"/>
          <w:iCs w:val="1"/>
          <w:rtl w:val="0"/>
        </w:rPr>
        <w:t xml:space="preserve">"Careful Adoption of Agentic AI Services"</w:t>
      </w:r>
      <w:r w:rsidDel="00000000" w:rsidR="00000000" w:rsidRPr="00000000">
        <w:rPr>
          <w:rtl w:val="0"/>
        </w:rPr>
        <w:t xml:space="preserve"> , los CISOs de sectores regulados deben priorizar:</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Inventario y Atribución:</w:t>
      </w:r>
      <w:r w:rsidDel="00000000" w:rsidR="00000000" w:rsidRPr="00000000">
        <w:rPr>
          <w:rtl w:val="0"/>
        </w:rPr>
        <w:t xml:space="preserve">  Identificar todos los agentes activos y asignar un dueño humano responsable.</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Auditoría de Cuentas de Servicio:</w:t>
      </w:r>
      <w:r w:rsidDel="00000000" w:rsidR="00000000" w:rsidRPr="00000000">
        <w:rPr>
          <w:rtl w:val="0"/>
        </w:rPr>
        <w:t xml:space="preserve">  Eliminar privilegios permanentes y transicionar a identidades JIT.</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Implementación de Kill-Switches:</w:t>
      </w:r>
      <w:r w:rsidDel="00000000" w:rsidR="00000000" w:rsidRPr="00000000">
        <w:rPr>
          <w:rtl w:val="0"/>
        </w:rPr>
        <w:t xml:space="preserve">  Establecer interruptores de apagado auditables que puedan deshabilitar agentes anómalos instantáneamente.</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Protocolo de Decomisión (OWASP NHI1):</w:t>
      </w:r>
      <w:r w:rsidDel="00000000" w:rsidR="00000000" w:rsidRPr="00000000">
        <w:rPr>
          <w:rtl w:val="0"/>
        </w:rPr>
        <w:t xml:space="preserve">  Asegurar la eliminación de memorias y tokens una vez finalizada la tarea del agente.En la era de la IA agenticia, la superioridad estratégica reside en la potencia de la contención física sobre la detección reactiva. El aislamiento total es el único camino hacia una soberanía tecnológica real.</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