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vj7u2p95ru88" w:id="0"/>
      <w:bookmarkEnd w:id="0"/>
      <w:r w:rsidDel="00000000" w:rsidR="00000000" w:rsidRPr="00000000">
        <w:rPr>
          <w:rtl w:val="0"/>
        </w:rPr>
        <w:t xml:space="preserve">Informe Estratégico: El Ecosistema de Agentes de IA y la Ingeniería de Arneses 2026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sbtz3xp9tsl0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el primer trimestre de 2026, el panorama de la Inteligencia Artificial (IA) ha transitado del caos experimental hacia una estructura de infraestructura definida por la convergencia de protocolos y la profesionalización de la  </w:t>
      </w:r>
      <w:r w:rsidDel="00000000" w:rsidR="00000000" w:rsidRPr="00000000">
        <w:rPr>
          <w:b w:val="1"/>
          <w:bCs w:val="1"/>
          <w:rtl w:val="0"/>
        </w:rPr>
        <w:t xml:space="preserve">Ingeniería de Arneses</w:t>
      </w:r>
      <w:r w:rsidDel="00000000" w:rsidR="00000000" w:rsidRPr="00000000">
        <w:rPr>
          <w:rtl w:val="0"/>
        </w:rPr>
        <w:t xml:space="preserve"> . La distinción crítica entre un "asistente" y un "agente" radica en la capacidad de este último para planificar, ejecutar herramientas y razonar resultados con mínima supervisión humana.A pesar de que el 79% de las empresas declaran haber adoptado agentes de IA, solo el  </w:t>
      </w:r>
      <w:r w:rsidDel="00000000" w:rsidR="00000000" w:rsidRPr="00000000">
        <w:rPr>
          <w:b w:val="1"/>
          <w:bCs w:val="1"/>
          <w:rtl w:val="0"/>
        </w:rPr>
        <w:t xml:space="preserve">11% los opera en entornos de producción</w:t>
      </w:r>
      <w:r w:rsidDel="00000000" w:rsidR="00000000" w:rsidRPr="00000000">
        <w:rPr>
          <w:rtl w:val="0"/>
        </w:rPr>
        <w:t xml:space="preserve"> . Esta brecha del 68% subraya la dificultad de integrar agentes en flujos de trabajo reales, sistemas de datos y estructuras de responsabilidad. La solución emergente es un "stack" de protocolos complementarios:  </w:t>
      </w:r>
      <w:r w:rsidDel="00000000" w:rsidR="00000000" w:rsidRPr="00000000">
        <w:rPr>
          <w:b w:val="1"/>
          <w:bCs w:val="1"/>
          <w:rtl w:val="0"/>
        </w:rPr>
        <w:t xml:space="preserve">MCP</w:t>
      </w:r>
      <w:r w:rsidDel="00000000" w:rsidR="00000000" w:rsidRPr="00000000">
        <w:rPr>
          <w:rtl w:val="0"/>
        </w:rPr>
        <w:t xml:space="preserve">  para el acceso a herramientas,  </w:t>
      </w:r>
      <w:r w:rsidDel="00000000" w:rsidR="00000000" w:rsidRPr="00000000">
        <w:rPr>
          <w:b w:val="1"/>
          <w:bCs w:val="1"/>
          <w:rtl w:val="0"/>
        </w:rPr>
        <w:t xml:space="preserve">A2A</w:t>
      </w:r>
      <w:r w:rsidDel="00000000" w:rsidR="00000000" w:rsidRPr="00000000">
        <w:rPr>
          <w:rtl w:val="0"/>
        </w:rPr>
        <w:t xml:space="preserve">  para la coordinación entre agentes, y  </w:t>
      </w:r>
      <w:r w:rsidDel="00000000" w:rsidR="00000000" w:rsidRPr="00000000">
        <w:rPr>
          <w:b w:val="1"/>
          <w:bCs w:val="1"/>
          <w:rtl w:val="0"/>
        </w:rPr>
        <w:t xml:space="preserve">ACP/UCP</w:t>
      </w:r>
      <w:r w:rsidDel="00000000" w:rsidR="00000000" w:rsidRPr="00000000">
        <w:rPr>
          <w:rtl w:val="0"/>
        </w:rPr>
        <w:t xml:space="preserve">  para transacciones comerciales.</w:t>
      </w:r>
      <w:r w:rsidDel="00000000" w:rsidR="00000000" w:rsidRPr="00000000">
        <w:rPr>
          <w:b w:val="1"/>
          <w:bCs w:val="1"/>
          <w:rtl w:val="0"/>
        </w:rPr>
        <w:t xml:space="preserve">Principales conclusiones: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Convergencia de Protocolos:</w:t>
      </w:r>
      <w:r w:rsidDel="00000000" w:rsidR="00000000" w:rsidRPr="00000000">
        <w:rPr>
          <w:rtl w:val="0"/>
        </w:rPr>
        <w:t xml:space="preserve">  MCP se ha consolidado como el estándar de facto para la conexión entre agentes y herramientas (97 millones de descargas).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Ingeniería de Arneses:</w:t>
      </w:r>
      <w:r w:rsidDel="00000000" w:rsidR="00000000" w:rsidRPr="00000000">
        <w:rPr>
          <w:rtl w:val="0"/>
        </w:rPr>
        <w:t xml:space="preserve">  El éxito de un agente no depende solo del modelo, sino del "arnés" (scaffolding) que lo rodea: gestión de contexto, persistencia de memoria y entornos de ejecución seguros (sandboxes).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Gobernanza y Seguridad:</w:t>
      </w:r>
      <w:r w:rsidDel="00000000" w:rsidR="00000000" w:rsidRPr="00000000">
        <w:rPr>
          <w:rtl w:val="0"/>
        </w:rPr>
        <w:t xml:space="preserve">  El 40% de los proyectos de IA agéntica corren el riesgo de ser cancelados para 2027 debido a costos crecientes y gobernanza inadecuada. Surgen los "Agentes Guardianes" como una capa de supervisión necesaria.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excxa8uulfxp" w:id="2"/>
      <w:bookmarkEnd w:id="2"/>
      <w:r w:rsidDel="00000000" w:rsidR="00000000" w:rsidRPr="00000000">
        <w:rPr>
          <w:rtl w:val="0"/>
        </w:rPr>
        <w:t xml:space="preserve">1. El Ecosistema de Protocolos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mercado ha pasado de convenciones propietarias a cuatro protocolos principales que operan en diferentes capas de la arquitectura del agente.| Protocolo | Creador / Gobernanza | Función Principal | Estado de Adopción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MCP</w:t>
      </w:r>
      <w:r w:rsidDel="00000000" w:rsidR="00000000" w:rsidRPr="00000000">
        <w:rPr>
          <w:rtl w:val="0"/>
        </w:rPr>
        <w:t xml:space="preserve">  (Model Context Protocol) | Anthropic / Agentic AI Foundation (Linux Foundation) | Conexión estándar entre agentes y herramientas/datos (capa vertical). | Dominante: 97M de descargas; soporte de Anthropic, OpenAI, Google y Microsoft. || </w:t>
      </w:r>
      <w:r w:rsidDel="00000000" w:rsidR="00000000" w:rsidRPr="00000000">
        <w:rPr>
          <w:b w:val="1"/>
          <w:bCs w:val="1"/>
          <w:rtl w:val="0"/>
        </w:rPr>
        <w:t xml:space="preserve">A2A</w:t>
      </w:r>
      <w:r w:rsidDel="00000000" w:rsidR="00000000" w:rsidRPr="00000000">
        <w:rPr>
          <w:rtl w:val="0"/>
        </w:rPr>
        <w:t xml:space="preserve">  (Agent-to-Agent) | Google (+50 socios) | Descubrimiento, delegación de tareas y comunicación entre agentes (capa horizontal). | Emergente: 50+ socios de lanzamiento (Atlassian, SAP, Salesforce). || </w:t>
      </w:r>
      <w:r w:rsidDel="00000000" w:rsidR="00000000" w:rsidRPr="00000000">
        <w:rPr>
          <w:b w:val="1"/>
          <w:bCs w:val="1"/>
          <w:rtl w:val="0"/>
        </w:rPr>
        <w:t xml:space="preserve">ACP</w:t>
      </w:r>
      <w:r w:rsidDel="00000000" w:rsidR="00000000" w:rsidRPr="00000000">
        <w:rPr>
          <w:rtl w:val="0"/>
        </w:rPr>
        <w:t xml:space="preserve">  (Agent Commerce Protocol) | IBM / Linux Foundation | Transacciones comerciales abiertas y neutrales entre agentes (pagos, ofertas). | Especializado: Enfoque en adquisiciones B2B autónomas. || </w:t>
      </w:r>
      <w:r w:rsidDel="00000000" w:rsidR="00000000" w:rsidRPr="00000000">
        <w:rPr>
          <w:b w:val="1"/>
          <w:bCs w:val="1"/>
          <w:rtl w:val="0"/>
        </w:rPr>
        <w:t xml:space="preserve">UCP</w:t>
      </w:r>
      <w:r w:rsidDel="00000000" w:rsidR="00000000" w:rsidRPr="00000000">
        <w:rPr>
          <w:rtl w:val="0"/>
        </w:rPr>
        <w:t xml:space="preserve">  (Universal Commerce Protocol) | Google | Transacciones dentro del ecosistema de Google (Shopping, Merchant Center). | Específico: Diseñado para el grafo de comercio de Google. |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9p1x06bqyier" w:id="3"/>
      <w:bookmarkEnd w:id="3"/>
      <w:r w:rsidDel="00000000" w:rsidR="00000000" w:rsidRPr="00000000">
        <w:rPr>
          <w:rtl w:val="0"/>
        </w:rPr>
        <w:t xml:space="preserve">Sinergia de Capas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 agente empresarial completo en 2026 utiliza estos protocolos de forma modular: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MCP:</w:t>
      </w:r>
      <w:r w:rsidDel="00000000" w:rsidR="00000000" w:rsidRPr="00000000">
        <w:rPr>
          <w:rtl w:val="0"/>
        </w:rPr>
        <w:t xml:space="preserve">  Para que el agente acceda a bases de datos, CRM o archivos locales.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A2A:</w:t>
      </w:r>
      <w:r w:rsidDel="00000000" w:rsidR="00000000" w:rsidRPr="00000000">
        <w:rPr>
          <w:rtl w:val="0"/>
        </w:rPr>
        <w:t xml:space="preserve">  Para que un "Agente Orquestador" delegue subtareas a "Agentes Especialistas" (ej. investigación, redacción).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ACP/UCP:</w:t>
      </w:r>
      <w:r w:rsidDel="00000000" w:rsidR="00000000" w:rsidRPr="00000000">
        <w:rPr>
          <w:rtl w:val="0"/>
        </w:rPr>
        <w:t xml:space="preserve">  Para cuando el flujo de trabajo requiere comprar bienes o servicios de forma autónoma.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14vl7uu4z2ah" w:id="4"/>
      <w:bookmarkEnd w:id="4"/>
      <w:r w:rsidDel="00000000" w:rsidR="00000000" w:rsidRPr="00000000">
        <w:rPr>
          <w:rtl w:val="0"/>
        </w:rPr>
        <w:t xml:space="preserve">2. Ingeniería de Arneses: La Arquitectura del Agente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 industria ha adoptado la premisa:  </w:t>
      </w:r>
      <w:r w:rsidDel="00000000" w:rsidR="00000000" w:rsidRPr="00000000">
        <w:rPr>
          <w:b w:val="1"/>
          <w:bCs w:val="1"/>
          <w:rtl w:val="0"/>
        </w:rPr>
        <w:t xml:space="preserve">Agente = Modelo + Arnés</w:t>
      </w:r>
      <w:r w:rsidDel="00000000" w:rsidR="00000000" w:rsidRPr="00000000">
        <w:rPr>
          <w:rtl w:val="0"/>
        </w:rPr>
        <w:t xml:space="preserve"> . El arnés es todo el código, configuración y lógica de ejecución que no es el modelo en sí mismo. Su función es inyectar conocimientos previos y controles que el modelo no posee de forma nativa.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n371on2k3vvm" w:id="5"/>
      <w:bookmarkEnd w:id="5"/>
      <w:r w:rsidDel="00000000" w:rsidR="00000000" w:rsidRPr="00000000">
        <w:rPr>
          <w:rtl w:val="0"/>
        </w:rPr>
        <w:t xml:space="preserve">Componentes Críticos del Arnés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Sistemas de Archivos:</w:t>
      </w:r>
      <w:r w:rsidDel="00000000" w:rsidR="00000000" w:rsidRPr="00000000">
        <w:rPr>
          <w:rtl w:val="0"/>
        </w:rPr>
        <w:t xml:space="preserve">  La base fundamental para la persistencia. Permite que el trabajo sobreviva a una sola sesión y sirva como superficie de colaboración entre agentes y humanos.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Sandboxes (Entornos Seguros):</w:t>
      </w:r>
      <w:r w:rsidDel="00000000" w:rsidR="00000000" w:rsidRPr="00000000">
        <w:rPr>
          <w:rtl w:val="0"/>
        </w:rPr>
        <w:t xml:space="preserve">  Cruciales para ejecutar código generado por IA de forma aislada, evitando riesgos de seguridad y permitiendo el escalamiento de tareas.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Contexto (Combatiendo la "Rotación de Contexto"):</w:t>
      </w:r>
      <w:r w:rsidDel="00000000" w:rsidR="00000000" w:rsidRPr="00000000">
        <w:rPr>
          <w:rtl w:val="0"/>
        </w:rPr>
        <w:t xml:space="preserve">  A medida que la ventana de contexto se llena, el razonamiento se degrada. Los arneses modernos implementan: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Compactación:</w:t>
      </w:r>
      <w:r w:rsidDel="00000000" w:rsidR="00000000" w:rsidRPr="00000000">
        <w:rPr>
          <w:rtl w:val="0"/>
        </w:rPr>
        <w:t xml:space="preserve">  Resumen inteligente del historial.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Descarga de herramientas:</w:t>
      </w:r>
      <w:r w:rsidDel="00000000" w:rsidR="00000000" w:rsidRPr="00000000">
        <w:rPr>
          <w:rtl w:val="0"/>
        </w:rPr>
        <w:t xml:space="preserve">  Mover salidas voluminosas de herramientas fuera del contexto directo hacia el sistema de archivos.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Ciclo Planificar-Actuar-Observar:</w:t>
      </w:r>
      <w:r w:rsidDel="00000000" w:rsidR="00000000" w:rsidRPr="00000000">
        <w:rPr>
          <w:rtl w:val="0"/>
        </w:rPr>
        <w:t xml:space="preserve">  El método científico aplicado al código. El agente planifica una aproximación, actúa (escribe código) y observa los resultados (errores de compilador o pruebas) para iterar.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lhu0behv61wt" w:id="6"/>
      <w:bookmarkEnd w:id="6"/>
      <w:r w:rsidDel="00000000" w:rsidR="00000000" w:rsidRPr="00000000">
        <w:rPr>
          <w:rtl w:val="0"/>
        </w:rPr>
        <w:t xml:space="preserve">3. Tendencias de Mercado y Adopción en 2026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 mercado de IA agéntica creció de  $7.6 mil millones en 2025 a una proyección de </w:t>
      </w:r>
      <w:r w:rsidDel="00000000" w:rsidR="00000000" w:rsidRPr="00000000">
        <w:rPr>
          <w:b w:val="1"/>
          <w:bCs w:val="1"/>
          <w:rtl w:val="0"/>
        </w:rPr>
        <w:t xml:space="preserve">$ 10.8 mil millones en 2026</w:t>
      </w:r>
      <w:r w:rsidDel="00000000" w:rsidR="00000000" w:rsidRPr="00000000">
        <w:rPr>
          <w:rtl w:val="0"/>
        </w:rPr>
        <w:t xml:space="preserve">. Sin embargo, la implementación enfrenta fricciones significativas.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igyvz4qv2oo1" w:id="7"/>
      <w:bookmarkEnd w:id="7"/>
      <w:r w:rsidDel="00000000" w:rsidR="00000000" w:rsidRPr="00000000">
        <w:rPr>
          <w:rtl w:val="0"/>
        </w:rPr>
        <w:t xml:space="preserve">Las 5 Tendencias Clave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Orquestación Multi-Agente:</w:t>
      </w:r>
      <w:r w:rsidDel="00000000" w:rsidR="00000000" w:rsidRPr="00000000">
        <w:rPr>
          <w:rtl w:val="0"/>
        </w:rPr>
        <w:t xml:space="preserve">  Transición de agentes aislados a sistemas donde especialistas colaboran (ej. un agente de inventario notifica a uno de compras, quien contacta al agente del proveedor).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Codificación Agéntica:</w:t>
      </w:r>
      <w:r w:rsidDel="00000000" w:rsidR="00000000" w:rsidRPr="00000000">
        <w:rPr>
          <w:rtl w:val="0"/>
        </w:rPr>
        <w:t xml:space="preserve">  El 75% de los desarrolladores utilizarán agentes para planificar, probar e iterar código de forma autónoma para 2028.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Agentes Guardianes:</w:t>
      </w:r>
      <w:r w:rsidDel="00000000" w:rsidR="00000000" w:rsidRPr="00000000">
        <w:rPr>
          <w:rtl w:val="0"/>
        </w:rPr>
        <w:t xml:space="preserve">  Representarán del 10% al 15% del mercado. Su función es monitorear a otros agentes para detectar alucinaciones, violaciones de cumplimiento o "deriva de alcance".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Comercio Agéntica:</w:t>
      </w:r>
      <w:r w:rsidDel="00000000" w:rsidR="00000000" w:rsidRPr="00000000">
        <w:rPr>
          <w:rtl w:val="0"/>
        </w:rPr>
        <w:t xml:space="preserve">  Los agentes comienzan a tomar decisiones de compra. El marketing se desplaza de persuadir humanos a satisfacer criterios de selección de agentes (transparencia de precios, accesibilidad de API).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Democratización mediante Low-Code:</w:t>
      </w:r>
      <w:r w:rsidDel="00000000" w:rsidR="00000000" w:rsidRPr="00000000">
        <w:rPr>
          <w:rtl w:val="0"/>
        </w:rPr>
        <w:t xml:space="preserve">  Plataformas visuales permiten desplegar agentes en minutos, lo que plantea nuevos desafíos de gobernanza centralizada.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xcvuujkklhp5" w:id="8"/>
      <w:bookmarkEnd w:id="8"/>
      <w:r w:rsidDel="00000000" w:rsidR="00000000" w:rsidRPr="00000000">
        <w:rPr>
          <w:rtl w:val="0"/>
        </w:rPr>
        <w:t xml:space="preserve">4. Retos y Fricciones en la Producción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brecha entre pilotos y producción se debe a tres problemas recurrentes: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Escalada de Costos:</w:t>
      </w:r>
      <w:r w:rsidDel="00000000" w:rsidR="00000000" w:rsidRPr="00000000">
        <w:rPr>
          <w:rtl w:val="0"/>
        </w:rPr>
        <w:t xml:space="preserve">  Los agentes que razonan e iteran consumen significativamente más recursos computacionales que la inferencia simple.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Medición de ROI Incierta:</w:t>
      </w:r>
      <w:r w:rsidDel="00000000" w:rsidR="00000000" w:rsidRPr="00000000">
        <w:rPr>
          <w:rtl w:val="0"/>
        </w:rPr>
        <w:t xml:space="preserve">  Las métricas financieras tradicionales a menudo no capturan ganancias en calidad de decisión o velocidad de respuesta al mercado. Los casos exitosos son aquellos con ROI medible desde el primer día (ej. resolución de tickets, ahorro de tiempo clínico).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Brechas de Gobernanza:</w:t>
      </w:r>
      <w:r w:rsidDel="00000000" w:rsidR="00000000" w:rsidRPr="00000000">
        <w:rPr>
          <w:rtl w:val="0"/>
        </w:rPr>
        <w:t xml:space="preserve">  Falta de claridad sobre quién es responsable cuando un agente toma una decisión errónea. Gartner predice más de  </w:t>
      </w:r>
      <w:r w:rsidDel="00000000" w:rsidR="00000000" w:rsidRPr="00000000">
        <w:rPr>
          <w:b w:val="1"/>
          <w:bCs w:val="1"/>
          <w:rtl w:val="0"/>
        </w:rPr>
        <w:t xml:space="preserve">2,000 demandas por "muerte por IA"</w:t>
      </w:r>
      <w:r w:rsidDel="00000000" w:rsidR="00000000" w:rsidRPr="00000000">
        <w:rPr>
          <w:rtl w:val="0"/>
        </w:rPr>
        <w:t xml:space="preserve">  para finales de 2026 relacionadas con fallas en sistemas autónomos.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98g120pv07sz" w:id="9"/>
      <w:bookmarkEnd w:id="9"/>
      <w:r w:rsidDel="00000000" w:rsidR="00000000" w:rsidRPr="00000000">
        <w:rPr>
          <w:rtl w:val="0"/>
        </w:rPr>
        <w:t xml:space="preserve">5. Hoja de Ruta para la Implementación Empresarial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Para las organizaciones que buscan cerrar la brecha de producción, se recomienda una implementación en tres fases: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8qllu6lvwswe" w:id="10"/>
      <w:bookmarkEnd w:id="10"/>
      <w:r w:rsidDel="00000000" w:rsidR="00000000" w:rsidRPr="00000000">
        <w:rPr>
          <w:rtl w:val="0"/>
        </w:rPr>
        <w:t xml:space="preserve">Fase 1: Cimentación con MCP (2 a 6 semanas por conjunto de herramientas)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Auditar herramientas y fuentes de datos actuales.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Construir o implementar servidores MCP para estandarizar el acceso a APIs y bases de datos.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hkseg9jhp9e7" w:id="11"/>
      <w:bookmarkEnd w:id="11"/>
      <w:r w:rsidDel="00000000" w:rsidR="00000000" w:rsidRPr="00000000">
        <w:rPr>
          <w:rtl w:val="0"/>
        </w:rPr>
        <w:t xml:space="preserve">Fase 2: Arquitectura A2A (4 a 12 semanas)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Diseñar la topología de agentes: definir especialistas y flujos de orquestación.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 </w:t>
      </w:r>
      <w:r w:rsidDel="00000000" w:rsidR="00000000" w:rsidRPr="00000000">
        <w:rPr>
          <w:b w:val="1"/>
          <w:bCs w:val="1"/>
          <w:rtl w:val="0"/>
        </w:rPr>
        <w:t xml:space="preserve">Agent Cards</w:t>
      </w:r>
      <w:r w:rsidDel="00000000" w:rsidR="00000000" w:rsidRPr="00000000">
        <w:rPr>
          <w:rtl w:val="0"/>
        </w:rPr>
        <w:t xml:space="preserve">  para permitir el descubrimiento dinámico de capacidades dentro de la empresa.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tb1nmsnnsw4f" w:id="12"/>
      <w:bookmarkEnd w:id="12"/>
      <w:r w:rsidDel="00000000" w:rsidR="00000000" w:rsidRPr="00000000">
        <w:rPr>
          <w:rtl w:val="0"/>
        </w:rPr>
        <w:t xml:space="preserve">Fase 3: Protocolos de Comercio y Autonomía (6 a 24 meses)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Evaluar ACP o UCP solo tras estabilizar la infraestructura de acceso y coordinación.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Establecer límites de transacciones, requisitos de autenticación y pistas de auditoría robustas antes de habilitar compras autónomas.</w:t>
      </w:r>
      <w:r w:rsidDel="00000000" w:rsidR="00000000" w:rsidRPr="00000000">
        <w:rPr>
          <w:b w:val="1"/>
          <w:bCs w:val="1"/>
          <w:rtl w:val="0"/>
        </w:rPr>
        <w:t xml:space="preserve">Cita Clave: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"El modelo contiene la inteligencia y el arnés es el sistema que hace que esa inteligencia sea útil."</w:t>
      </w:r>
      <w:r w:rsidDel="00000000" w:rsidR="00000000" w:rsidRPr="00000000">
        <w:rPr>
          <w:rtl w:val="0"/>
        </w:rPr>
        <w:t xml:space="preserve">  — Análisis de arquitectura de LangChain, 2026.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lymmzzaf3cr" w:id="13"/>
      <w:bookmarkEnd w:id="13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 ecosistema de agentes de IA en 2026 ha madurado hacia la modularidad. La clave del éxito no reside en elegir el modelo más grande, sino en diseñar un arnés robusto y adoptar protocolos estandarizados (MCP, A2A) que permitan la interoperabilidad y la gobernanza. Las empresas que traten la evaluación y la supervisión humana como requisitos de infraestructura, y no como ideas secundarias, serán las que logren escalar sus agentes a producción.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