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gkd27iyv8yb" w:id="0"/>
      <w:bookmarkEnd w:id="0"/>
      <w:r w:rsidDel="00000000" w:rsidR="00000000" w:rsidRPr="00000000">
        <w:rPr>
          <w:rtl w:val="0"/>
        </w:rPr>
        <w:t xml:space="preserve">Marco Técnico de Convergencia: Diseño de Infraestructura Agéntica Empresarial 2026</w:t>
      </w:r>
    </w:p>
    <w:p w:rsidR="00000000" w:rsidDel="00000000" w:rsidP="00000000" w:rsidRDefault="00000000" w:rsidRPr="00000000" w14:paraId="00000002">
      <w:pPr>
        <w:pStyle w:val="Heading4"/>
        <w:rPr/>
      </w:pPr>
      <w:bookmarkStart w:colFirst="0" w:colLast="0" w:name="_x33l6y4medcq" w:id="1"/>
      <w:bookmarkEnd w:id="1"/>
      <w:r w:rsidDel="00000000" w:rsidR="00000000" w:rsidRPr="00000000">
        <w:rPr>
          <w:rtl w:val="0"/>
        </w:rPr>
        <w:t xml:space="preserve">1. El Estado de la Arquitectura Agéntica en 2026</w:t>
      </w:r>
    </w:p>
    <w:p w:rsidR="00000000" w:rsidDel="00000000" w:rsidP="00000000" w:rsidRDefault="00000000" w:rsidRPr="00000000" w14:paraId="00000003">
      <w:pPr>
        <w:rPr/>
      </w:pPr>
      <w:r w:rsidDel="00000000" w:rsidR="00000000" w:rsidRPr="00000000">
        <w:rPr>
          <w:rtl w:val="0"/>
        </w:rPr>
        <w:t xml:space="preserve">El año 2026 marca el punto de inflexión definitivo hacia la "Era de la Convergencia de Protocolos". Hemos superado la fase de experimentos aislados y "agentwashing" para entrar en una etapa donde la infraestructura estandarizada es el único camino hacia la viabilidad económica. Cerrar la brecha estratégica del 68% entre la adopción experimental y la implementación en producción es hoy el imperativo principal para cualquier Arquitecto de Infraestructura. El éxito ya no depende de la sofisticación del modelo de lenguaje, sino de la robustez de los protocolos que permiten a la inteligencia artificial interactuar con sistemas legados, otros agentes y capas de comercio de forma determinista.</w:t>
      </w:r>
      <w:r w:rsidDel="00000000" w:rsidR="00000000" w:rsidRPr="00000000">
        <w:rPr>
          <w:b w:val="1"/>
          <w:bCs w:val="1"/>
          <w:rtl w:val="0"/>
        </w:rPr>
        <w:t xml:space="preserve">Análisis de Situación</w:t>
      </w:r>
      <w:r w:rsidDel="00000000" w:rsidR="00000000" w:rsidRPr="00000000">
        <w:rPr>
          <w:rtl w:val="0"/>
        </w:rPr>
        <w:t xml:space="preserve">  Sintetizando el panorama del mercado actual, observamos los siguientes indicadores críticos:</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La Brecha de Ejecución:</w:t>
      </w:r>
      <w:r w:rsidDel="00000000" w:rsidR="00000000" w:rsidRPr="00000000">
        <w:rPr>
          <w:rtl w:val="0"/>
        </w:rPr>
        <w:t xml:space="preserve">  Aunque el  </w:t>
      </w:r>
      <w:r w:rsidDel="00000000" w:rsidR="00000000" w:rsidRPr="00000000">
        <w:rPr>
          <w:b w:val="1"/>
          <w:bCs w:val="1"/>
          <w:rtl w:val="0"/>
        </w:rPr>
        <w:t xml:space="preserve">79% de las empresas</w:t>
      </w:r>
      <w:r w:rsidDel="00000000" w:rsidR="00000000" w:rsidRPr="00000000">
        <w:rPr>
          <w:rtl w:val="0"/>
        </w:rPr>
        <w:t xml:space="preserve">  declara haber adoptado agentes de IA, solo un  </w:t>
      </w:r>
      <w:r w:rsidDel="00000000" w:rsidR="00000000" w:rsidRPr="00000000">
        <w:rPr>
          <w:b w:val="1"/>
          <w:bCs w:val="1"/>
          <w:rtl w:val="0"/>
        </w:rPr>
        <w:t xml:space="preserve">11% ha logrado un despliegue real en producción</w:t>
      </w:r>
      <w:r w:rsidDel="00000000" w:rsidR="00000000" w:rsidRPr="00000000">
        <w:rPr>
          <w:rtl w:val="0"/>
        </w:rPr>
        <w:t xml:space="preserve"> . Esta disparidad subraya la dificultad de integrar agentes en flujos de trabajo reales, límites de seguridad y estructuras de responsabilidad.</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Aceleración de Mercado:</w:t>
      </w:r>
      <w:r w:rsidDel="00000000" w:rsidR="00000000" w:rsidRPr="00000000">
        <w:rPr>
          <w:rtl w:val="0"/>
        </w:rPr>
        <w:t xml:space="preserve">  Se proyecta que el mercado agéntico alcance los  </w:t>
      </w:r>
      <w:r w:rsidDel="00000000" w:rsidR="00000000" w:rsidRPr="00000000">
        <w:rPr>
          <w:b w:val="1"/>
          <w:bCs w:val="1"/>
          <w:rtl w:val="0"/>
        </w:rPr>
        <w:t xml:space="preserve">$10.8B para finales de 2026</w:t>
      </w:r>
      <w:r w:rsidDel="00000000" w:rsidR="00000000" w:rsidRPr="00000000">
        <w:rPr>
          <w:rtl w:val="0"/>
        </w:rPr>
        <w:t xml:space="preserve"> , superando el ritmo de crecimiento inicial de la adopción de la nube.</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Transición de Paradigma:</w:t>
      </w:r>
      <w:r w:rsidDel="00000000" w:rsidR="00000000" w:rsidRPr="00000000">
        <w:rPr>
          <w:rtl w:val="0"/>
        </w:rPr>
        <w:t xml:space="preserve">  Hemos migrado de los "AI Assistants" (dependientes de dirección humana paso a paso) a los  </w:t>
      </w:r>
      <w:r w:rsidDel="00000000" w:rsidR="00000000" w:rsidRPr="00000000">
        <w:rPr>
          <w:b w:val="1"/>
          <w:bCs w:val="1"/>
          <w:rtl w:val="0"/>
        </w:rPr>
        <w:t xml:space="preserve">"AI Agents" autónomos</w:t>
      </w:r>
      <w:r w:rsidDel="00000000" w:rsidR="00000000" w:rsidRPr="00000000">
        <w:rPr>
          <w:rtl w:val="0"/>
        </w:rPr>
        <w:t xml:space="preserve"> , capaces de planificar, usar herramientas y razonar sobre resultados con supervisión mínima.</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Riesgo de Gobernanza:</w:t>
      </w:r>
      <w:r w:rsidDel="00000000" w:rsidR="00000000" w:rsidRPr="00000000">
        <w:rPr>
          <w:rtl w:val="0"/>
        </w:rPr>
        <w:t xml:space="preserve">  Gartner advierte que el 40% de los proyectos agénticos corren el riesgo de ser cancelados debido a costos escalados y la ausencia de marcos de gobernanza claros.Para mitigar estos riesgos, la arquitectura debe cimentarse sobre cuatro protocolos fundamentales que definen las fronteras de comunicación en un ecosistema multi-proveedor.</w:t>
      </w:r>
    </w:p>
    <w:p w:rsidR="00000000" w:rsidDel="00000000" w:rsidP="00000000" w:rsidRDefault="00000000" w:rsidRPr="00000000" w14:paraId="00000008">
      <w:pPr>
        <w:pStyle w:val="Heading4"/>
        <w:rPr/>
      </w:pPr>
      <w:bookmarkStart w:colFirst="0" w:colLast="0" w:name="_j1651w3eafzv" w:id="2"/>
      <w:bookmarkEnd w:id="2"/>
      <w:r w:rsidDel="00000000" w:rsidR="00000000" w:rsidRPr="00000000">
        <w:rPr>
          <w:rtl w:val="0"/>
        </w:rPr>
        <w:t xml:space="preserve">2. Anatomía de los Cuatro Pilares: MCP, A2A, ACP y UCP</w:t>
      </w:r>
    </w:p>
    <w:p w:rsidR="00000000" w:rsidDel="00000000" w:rsidP="00000000" w:rsidRDefault="00000000" w:rsidRPr="00000000" w14:paraId="00000009">
      <w:pPr>
        <w:rPr/>
      </w:pPr>
      <w:r w:rsidDel="00000000" w:rsidR="00000000" w:rsidRPr="00000000">
        <w:rPr>
          <w:rtl w:val="0"/>
        </w:rPr>
        <w:t xml:space="preserve">En sistemas complejos donde coexisten agentes de Anthropic, Google, OpenAI y Microsoft, la ausencia de estándares genera un "caos de integración" insostenible. Definir fronteras operativas claras es esencial para evitar el acoplamiento rígido y la redundancia técnica.</w:t>
      </w:r>
    </w:p>
    <w:p w:rsidR="00000000" w:rsidDel="00000000" w:rsidP="00000000" w:rsidRDefault="00000000" w:rsidRPr="00000000" w14:paraId="0000000A">
      <w:pPr>
        <w:pStyle w:val="Heading5"/>
        <w:rPr/>
      </w:pPr>
      <w:bookmarkStart w:colFirst="0" w:colLast="0" w:name="_kgnswccmfv4g" w:id="3"/>
      <w:bookmarkEnd w:id="3"/>
      <w:r w:rsidDel="00000000" w:rsidR="00000000" w:rsidRPr="00000000">
        <w:rPr>
          <w:rtl w:val="0"/>
        </w:rPr>
        <w:t xml:space="preserve">Análisis Profundo de Protocolos</w:t>
      </w:r>
    </w:p>
    <w:p w:rsidR="00000000" w:rsidDel="00000000" w:rsidP="00000000" w:rsidRDefault="00000000" w:rsidRPr="00000000" w14:paraId="0000000B">
      <w:pPr>
        <w:rPr/>
      </w:pPr>
      <w:r w:rsidDel="00000000" w:rsidR="00000000" w:rsidRPr="00000000">
        <w:rPr>
          <w:rtl w:val="0"/>
        </w:rPr>
        <w:t xml:space="preserve">Protocolo,Capa Operativa,Líder / Gobernanza,Función Crítica</w:t>
      </w:r>
    </w:p>
    <w:p w:rsidR="00000000" w:rsidDel="00000000" w:rsidP="00000000" w:rsidRDefault="00000000" w:rsidRPr="00000000" w14:paraId="0000000C">
      <w:pPr>
        <w:rPr/>
      </w:pPr>
      <w:r w:rsidDel="00000000" w:rsidR="00000000" w:rsidRPr="00000000">
        <w:rPr>
          <w:rtl w:val="0"/>
        </w:rPr>
        <w:t xml:space="preserve">MCP  (Model Context Protocol),Agent-to-Tool,AAIF (Linux Foundation),"Estándar de facto para conectar agentes con APIs, DBs y SaaS.  97M de descargas mensuales ."</w:t>
      </w:r>
    </w:p>
    <w:p w:rsidR="00000000" w:rsidDel="00000000" w:rsidP="00000000" w:rsidRDefault="00000000" w:rsidRPr="00000000" w14:paraId="0000000D">
      <w:pPr>
        <w:rPr/>
      </w:pPr>
      <w:r w:rsidDel="00000000" w:rsidR="00000000" w:rsidRPr="00000000">
        <w:rPr>
          <w:rtl w:val="0"/>
        </w:rPr>
        <w:t xml:space="preserve">A2A  (Agent-to-Agent),Agent-to-Agent,Google (50+ socios),"Orquestación, descubrimiento y delegación activa mediante  Agent Cards ."</w:t>
      </w:r>
    </w:p>
    <w:p w:rsidR="00000000" w:rsidDel="00000000" w:rsidP="00000000" w:rsidRDefault="00000000" w:rsidRPr="00000000" w14:paraId="0000000E">
      <w:pPr>
        <w:rPr/>
      </w:pPr>
      <w:r w:rsidDel="00000000" w:rsidR="00000000" w:rsidRPr="00000000">
        <w:rPr>
          <w:rtl w:val="0"/>
        </w:rPr>
        <w:t xml:space="preserve">ACP  (Agent Commerce Protocol),Agent-to-Commerce,Linux Foundation / IBM,Transacciones B2B abiertas y neutrales; semántica de pagos y ofertas.</w:t>
      </w:r>
    </w:p>
    <w:p w:rsidR="00000000" w:rsidDel="00000000" w:rsidP="00000000" w:rsidRDefault="00000000" w:rsidRPr="00000000" w14:paraId="0000000F">
      <w:pPr>
        <w:rPr/>
      </w:pPr>
      <w:r w:rsidDel="00000000" w:rsidR="00000000" w:rsidRPr="00000000">
        <w:rPr>
          <w:rtl w:val="0"/>
        </w:rPr>
        <w:t xml:space="preserve">UCP  (Universal Commerce Protocol),Agent-to-Commerce,Google Commerce,Especialización en el ecosistema de Google Shopping y Merchant Center.</w:t>
      </w:r>
    </w:p>
    <w:p w:rsidR="00000000" w:rsidDel="00000000" w:rsidP="00000000" w:rsidRDefault="00000000" w:rsidRPr="00000000" w14:paraId="00000010">
      <w:pPr>
        <w:pStyle w:val="Heading5"/>
        <w:rPr/>
      </w:pPr>
      <w:bookmarkStart w:colFirst="0" w:colLast="0" w:name="_lkv68097p4ht" w:id="4"/>
      <w:bookmarkEnd w:id="4"/>
      <w:r w:rsidDel="00000000" w:rsidR="00000000" w:rsidRPr="00000000">
        <w:rPr>
          <w:rtl w:val="0"/>
        </w:rPr>
        <w:t xml:space="preserve">Diferenciación Estratégica ("So What?")</w:t>
      </w:r>
    </w:p>
    <w:p w:rsidR="00000000" w:rsidDel="00000000" w:rsidP="00000000" w:rsidRDefault="00000000" w:rsidRPr="00000000" w14:paraId="00000011">
      <w:pPr>
        <w:rPr/>
      </w:pPr>
      <w:r w:rsidDel="00000000" w:rsidR="00000000" w:rsidRPr="00000000">
        <w:rPr>
          <w:rtl w:val="0"/>
        </w:rPr>
        <w:t xml:space="preserve">Como estrategas, debemos comprender las  </w:t>
      </w:r>
      <w:r w:rsidDel="00000000" w:rsidR="00000000" w:rsidRPr="00000000">
        <w:rPr>
          <w:b w:val="1"/>
          <w:bCs w:val="1"/>
          <w:rtl w:val="0"/>
        </w:rPr>
        <w:t xml:space="preserve">Zonas de Traslape</w:t>
      </w:r>
      <w:r w:rsidDel="00000000" w:rsidR="00000000" w:rsidRPr="00000000">
        <w:rPr>
          <w:rtl w:val="0"/>
        </w:rPr>
        <w:t xml:space="preserve"> . Un error crítico es utilizar MCP para la delegación de tareas entre agentes.  </w:t>
      </w:r>
      <w:r w:rsidDel="00000000" w:rsidR="00000000" w:rsidRPr="00000000">
        <w:rPr>
          <w:b w:val="1"/>
          <w:bCs w:val="1"/>
          <w:rtl w:val="0"/>
        </w:rPr>
        <w:t xml:space="preserve">MCP es una interfaz pasiva cliente-servidor</w:t>
      </w:r>
      <w:r w:rsidDel="00000000" w:rsidR="00000000" w:rsidRPr="00000000">
        <w:rPr>
          <w:rtl w:val="0"/>
        </w:rPr>
        <w:t xml:space="preserve">  diseñada para el acceso a herramientas; forzarlo para la delegación crea una "monolitización del contexto" que acelera el  </w:t>
      </w:r>
      <w:r w:rsidDel="00000000" w:rsidR="00000000" w:rsidRPr="00000000">
        <w:rPr>
          <w:b w:val="1"/>
          <w:bCs w:val="1"/>
          <w:rtl w:val="0"/>
        </w:rPr>
        <w:t xml:space="preserve">Context Rot</w:t>
      </w:r>
      <w:r w:rsidDel="00000000" w:rsidR="00000000" w:rsidRPr="00000000">
        <w:rPr>
          <w:rtl w:val="0"/>
        </w:rPr>
        <w:t xml:space="preserve">  (degradación del razonamiento por saturación de ventana).Por el contrario,  </w:t>
      </w:r>
      <w:r w:rsidDel="00000000" w:rsidR="00000000" w:rsidRPr="00000000">
        <w:rPr>
          <w:b w:val="1"/>
          <w:bCs w:val="1"/>
          <w:rtl w:val="0"/>
        </w:rPr>
        <w:t xml:space="preserve">A2A está diseñado para la delegación activa</w:t>
      </w:r>
      <w:r w:rsidDel="00000000" w:rsidR="00000000" w:rsidRPr="00000000">
        <w:rPr>
          <w:rtl w:val="0"/>
        </w:rPr>
        <w:t xml:space="preserve"> . A través de las  </w:t>
      </w:r>
      <w:r w:rsidDel="00000000" w:rsidR="00000000" w:rsidRPr="00000000">
        <w:rPr>
          <w:b w:val="1"/>
          <w:bCs w:val="1"/>
          <w:rtl w:val="0"/>
        </w:rPr>
        <w:t xml:space="preserve">Agent Cards</w:t>
      </w:r>
      <w:r w:rsidDel="00000000" w:rsidR="00000000" w:rsidRPr="00000000">
        <w:rPr>
          <w:rtl w:val="0"/>
        </w:rPr>
        <w:t xml:space="preserve"> , un agente no solo descubre capacidades, sino que hereda un modelo de seguridad robusto basado en  </w:t>
      </w:r>
      <w:r w:rsidDel="00000000" w:rsidR="00000000" w:rsidRPr="00000000">
        <w:rPr>
          <w:b w:val="1"/>
          <w:bCs w:val="1"/>
          <w:rtl w:val="0"/>
        </w:rPr>
        <w:t xml:space="preserve">OAuth 2.0</w:t>
      </w:r>
      <w:r w:rsidDel="00000000" w:rsidR="00000000" w:rsidRPr="00000000">
        <w:rPr>
          <w:rtl w:val="0"/>
        </w:rPr>
        <w:t xml:space="preserve"> , con declaraciones de alcance ( </w:t>
      </w:r>
      <w:r w:rsidDel="00000000" w:rsidR="00000000" w:rsidRPr="00000000">
        <w:rPr>
          <w:i w:val="1"/>
          <w:iCs w:val="1"/>
          <w:rtl w:val="0"/>
        </w:rPr>
        <w:t xml:space="preserve">scope</w:t>
      </w:r>
      <w:r w:rsidDel="00000000" w:rsidR="00000000" w:rsidRPr="00000000">
        <w:rPr>
          <w:rtl w:val="0"/>
        </w:rPr>
        <w:t xml:space="preserve"> ) y estados de ciclo de vida (semántica de reintento, notificaciones  </w:t>
      </w:r>
      <w:r w:rsidDel="00000000" w:rsidR="00000000" w:rsidRPr="00000000">
        <w:rPr>
          <w:i w:val="1"/>
          <w:iCs w:val="1"/>
          <w:rtl w:val="0"/>
        </w:rPr>
        <w:t xml:space="preserve">push</w:t>
      </w:r>
      <w:r w:rsidDel="00000000" w:rsidR="00000000" w:rsidRPr="00000000">
        <w:rPr>
          <w:rtl w:val="0"/>
        </w:rPr>
        <w:t xml:space="preserve">  y auditoría). Ignorar esta distinción compromete la autonomía y la persistencia de estado del sistema agéntico.</w:t>
      </w:r>
    </w:p>
    <w:p w:rsidR="00000000" w:rsidDel="00000000" w:rsidP="00000000" w:rsidRDefault="00000000" w:rsidRPr="00000000" w14:paraId="00000012">
      <w:pPr>
        <w:pStyle w:val="Heading4"/>
        <w:rPr/>
      </w:pPr>
      <w:bookmarkStart w:colFirst="0" w:colLast="0" w:name="_kr6xuxc2kx37" w:id="5"/>
      <w:bookmarkEnd w:id="5"/>
      <w:r w:rsidDel="00000000" w:rsidR="00000000" w:rsidRPr="00000000">
        <w:rPr>
          <w:rtl w:val="0"/>
        </w:rPr>
        <w:t xml:space="preserve">3. La Pila Tecnológica Agéntica (The Protocol Stack)</w:t>
      </w:r>
    </w:p>
    <w:p w:rsidR="00000000" w:rsidDel="00000000" w:rsidP="00000000" w:rsidRDefault="00000000" w:rsidRPr="00000000" w14:paraId="00000013">
      <w:pPr>
        <w:rPr/>
      </w:pPr>
      <w:r w:rsidDel="00000000" w:rsidR="00000000" w:rsidRPr="00000000">
        <w:rPr>
          <w:rtl w:val="0"/>
        </w:rPr>
        <w:t xml:space="preserve">La arquitectura empresarial debe visualizarse como una pila de capas  </w:t>
      </w:r>
      <w:r w:rsidDel="00000000" w:rsidR="00000000" w:rsidRPr="00000000">
        <w:rPr>
          <w:i w:val="1"/>
          <w:iCs w:val="1"/>
          <w:rtl w:val="0"/>
        </w:rPr>
        <w:t xml:space="preserve">bottom-up</w:t>
      </w:r>
      <w:r w:rsidDel="00000000" w:rsidR="00000000" w:rsidRPr="00000000">
        <w:rPr>
          <w:rtl w:val="0"/>
        </w:rPr>
        <w:t xml:space="preserve"> . La independencia de cada nivel garantiza que la inteligencia pueda evolucionar sin obligar a una reingeniería de las capas superiores de coordinación o comercio.</w:t>
      </w:r>
    </w:p>
    <w:p w:rsidR="00000000" w:rsidDel="00000000" w:rsidP="00000000" w:rsidRDefault="00000000" w:rsidRPr="00000000" w14:paraId="00000014">
      <w:pPr>
        <w:pStyle w:val="Heading5"/>
        <w:rPr/>
      </w:pPr>
      <w:bookmarkStart w:colFirst="0" w:colLast="0" w:name="_xzyuin9li1ua" w:id="6"/>
      <w:bookmarkEnd w:id="6"/>
      <w:r w:rsidDel="00000000" w:rsidR="00000000" w:rsidRPr="00000000">
        <w:rPr>
          <w:rtl w:val="0"/>
        </w:rPr>
        <w:t xml:space="preserve">Modelado de Capas (Estructura de la Pila)</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Capa 1: Runtime/Modelo (Foundation):</w:t>
      </w:r>
      <w:r w:rsidDel="00000000" w:rsidR="00000000" w:rsidRPr="00000000">
        <w:rPr>
          <w:rtl w:val="0"/>
        </w:rPr>
        <w:t xml:space="preserve">  El motor de razonamiento (Claude, GPT, Gemini). Es el núcleo de la inteligencia, pero es inerte sin el andamiaje adecuado.</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Capa 2: Acceso a Herramientas (MCP):</w:t>
      </w:r>
      <w:r w:rsidDel="00000000" w:rsidR="00000000" w:rsidRPr="00000000">
        <w:rPr>
          <w:rtl w:val="0"/>
        </w:rPr>
        <w:t xml:space="preserve">  La capa de conectividad universal. Estandariza cómo el modelo lee archivos o consulta bases de datos.</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Capa 3: Coordinación (A2A):</w:t>
      </w:r>
      <w:r w:rsidDel="00000000" w:rsidR="00000000" w:rsidRPr="00000000">
        <w:rPr>
          <w:rtl w:val="0"/>
        </w:rPr>
        <w:t xml:space="preserve">  La capa de descubrimiento dinámico. Permite que un agente orquestador delegue subtareas a especialistas sin conocimiento  </w:t>
      </w:r>
      <w:r w:rsidDel="00000000" w:rsidR="00000000" w:rsidRPr="00000000">
        <w:rPr>
          <w:i w:val="1"/>
          <w:iCs w:val="1"/>
          <w:rtl w:val="0"/>
        </w:rPr>
        <w:t xml:space="preserve">hardcoded</w:t>
      </w:r>
      <w:r w:rsidDel="00000000" w:rsidR="00000000" w:rsidRPr="00000000">
        <w:rPr>
          <w:rtl w:val="0"/>
        </w:rPr>
        <w:t xml:space="preserve"> .</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Capa 4: Comercio (ACP/UCP):</w:t>
      </w:r>
      <w:r w:rsidDel="00000000" w:rsidR="00000000" w:rsidRPr="00000000">
        <w:rPr>
          <w:rtl w:val="0"/>
        </w:rPr>
        <w:t xml:space="preserve">  El nivel del ápice. Define la semántica de las transacciones, RFQs (petición de cotización) y confirmación de pagos.</w:t>
      </w:r>
    </w:p>
    <w:p w:rsidR="00000000" w:rsidDel="00000000" w:rsidP="00000000" w:rsidRDefault="00000000" w:rsidRPr="00000000" w14:paraId="00000019">
      <w:pPr>
        <w:pStyle w:val="Heading5"/>
        <w:rPr/>
      </w:pPr>
      <w:bookmarkStart w:colFirst="0" w:colLast="0" w:name="_ty9ruffc1l01" w:id="7"/>
      <w:bookmarkEnd w:id="7"/>
      <w:r w:rsidDel="00000000" w:rsidR="00000000" w:rsidRPr="00000000">
        <w:rPr>
          <w:rtl w:val="0"/>
        </w:rPr>
        <w:t xml:space="preserve">Instrucciones Técnicas de Interoperabilidad</w:t>
      </w:r>
    </w:p>
    <w:p w:rsidR="00000000" w:rsidDel="00000000" w:rsidP="00000000" w:rsidRDefault="00000000" w:rsidRPr="00000000" w14:paraId="0000001A">
      <w:pPr>
        <w:rPr/>
      </w:pPr>
      <w:r w:rsidDel="00000000" w:rsidR="00000000" w:rsidRPr="00000000">
        <w:rPr>
          <w:rtl w:val="0"/>
        </w:rPr>
        <w:t xml:space="preserve">Para arquitectos que diseñan para la escala de 2026, las reglas son claras:</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Priorizar Streamable HTTP:</w:t>
      </w:r>
      <w:r w:rsidDel="00000000" w:rsidR="00000000" w:rsidRPr="00000000">
        <w:rPr>
          <w:rtl w:val="0"/>
        </w:rPr>
        <w:t xml:space="preserve">  El transporte  </w:t>
      </w:r>
      <w:r w:rsidDel="00000000" w:rsidR="00000000" w:rsidRPr="00000000">
        <w:rPr>
          <w:i w:val="1"/>
          <w:iCs w:val="1"/>
          <w:rtl w:val="0"/>
        </w:rPr>
        <w:t xml:space="preserve">stdio</w:t>
      </w:r>
      <w:r w:rsidDel="00000000" w:rsidR="00000000" w:rsidRPr="00000000">
        <w:rPr>
          <w:rtl w:val="0"/>
        </w:rPr>
        <w:t xml:space="preserve">  (procesos locales) es considerado legado para producción. Se debe implementar  </w:t>
      </w:r>
      <w:r w:rsidDel="00000000" w:rsidR="00000000" w:rsidRPr="00000000">
        <w:rPr>
          <w:b w:val="1"/>
          <w:bCs w:val="1"/>
          <w:rtl w:val="0"/>
        </w:rPr>
        <w:t xml:space="preserve">Streamable HTTP</w:t>
      </w:r>
      <w:r w:rsidDel="00000000" w:rsidR="00000000" w:rsidRPr="00000000">
        <w:rPr>
          <w:rtl w:val="0"/>
        </w:rPr>
        <w:t xml:space="preserve">  para permitir que los servidores MCP operen como servicios remotos sin estado, facilitando el balanceo de carga.</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Agent Cards para Desacoplamiento:</w:t>
      </w:r>
      <w:r w:rsidDel="00000000" w:rsidR="00000000" w:rsidRPr="00000000">
        <w:rPr>
          <w:rtl w:val="0"/>
        </w:rPr>
        <w:t xml:space="preserve">  El uso de Agent Cards elimina la necesidad de conocer las capacidades de otros agentes en tiempo de diseño. La infraestructura debe soportar el descubrimiento en tiempo de ejecución basado en manifiestos de seguridad y capacidad.</w:t>
      </w:r>
    </w:p>
    <w:p w:rsidR="00000000" w:rsidDel="00000000" w:rsidP="00000000" w:rsidRDefault="00000000" w:rsidRPr="00000000" w14:paraId="0000001D">
      <w:pPr>
        <w:pStyle w:val="Heading4"/>
        <w:rPr/>
      </w:pPr>
      <w:bookmarkStart w:colFirst="0" w:colLast="0" w:name="_3uekiq8wxxwu" w:id="8"/>
      <w:bookmarkEnd w:id="8"/>
      <w:r w:rsidDel="00000000" w:rsidR="00000000" w:rsidRPr="00000000">
        <w:rPr>
          <w:rtl w:val="0"/>
        </w:rPr>
        <w:t xml:space="preserve">4. Ingeniería de Harness: Scaffolding y Determinismo</w:t>
      </w:r>
    </w:p>
    <w:p w:rsidR="00000000" w:rsidDel="00000000" w:rsidP="00000000" w:rsidRDefault="00000000" w:rsidRPr="00000000" w14:paraId="0000001E">
      <w:pPr>
        <w:rPr/>
      </w:pPr>
      <w:r w:rsidDel="00000000" w:rsidR="00000000" w:rsidRPr="00000000">
        <w:rPr>
          <w:rtl w:val="0"/>
        </w:rPr>
        <w:t xml:space="preserve">La inteligencia del modelo es solo la mitad de la ecuación. La fórmula maestra es:  </w:t>
      </w:r>
      <w:r w:rsidDel="00000000" w:rsidR="00000000" w:rsidRPr="00000000">
        <w:rPr>
          <w:b w:val="1"/>
          <w:bCs w:val="1"/>
          <w:rtl w:val="0"/>
        </w:rPr>
        <w:t xml:space="preserve">Agente = Modelo + Harness</w:t>
      </w:r>
      <w:r w:rsidDel="00000000" w:rsidR="00000000" w:rsidRPr="00000000">
        <w:rPr>
          <w:rtl w:val="0"/>
        </w:rPr>
        <w:t xml:space="preserve"> . El  </w:t>
      </w:r>
      <w:r w:rsidDel="00000000" w:rsidR="00000000" w:rsidRPr="00000000">
        <w:rPr>
          <w:i w:val="1"/>
          <w:iCs w:val="1"/>
          <w:rtl w:val="0"/>
        </w:rPr>
        <w:t xml:space="preserve">harness</w:t>
      </w:r>
      <w:r w:rsidDel="00000000" w:rsidR="00000000" w:rsidRPr="00000000">
        <w:rPr>
          <w:rtl w:val="0"/>
        </w:rPr>
        <w:t xml:space="preserve">  (arnés) es la infraestructura de soporte que determina si esa inteligencia se traduce en éxito operativo. Un diseño de arnés superior puede mover el rendimiento de un agente de forma más drástica que el cambio del modelo subyacente: en  </w:t>
      </w:r>
      <w:r w:rsidDel="00000000" w:rsidR="00000000" w:rsidRPr="00000000">
        <w:rPr>
          <w:b w:val="1"/>
          <w:bCs w:val="1"/>
          <w:rtl w:val="0"/>
        </w:rPr>
        <w:t xml:space="preserve">Terminal Bench 2.0</w:t>
      </w:r>
      <w:r w:rsidDel="00000000" w:rsidR="00000000" w:rsidRPr="00000000">
        <w:rPr>
          <w:rtl w:val="0"/>
        </w:rPr>
        <w:t xml:space="preserve"> , la optimización del harness permitió que un agente subiera del  </w:t>
      </w:r>
      <w:r w:rsidDel="00000000" w:rsidR="00000000" w:rsidRPr="00000000">
        <w:rPr>
          <w:b w:val="1"/>
          <w:bCs w:val="1"/>
          <w:rtl w:val="0"/>
        </w:rPr>
        <w:t xml:space="preserve">Top 30 al Top 5</w:t>
      </w:r>
      <w:r w:rsidDel="00000000" w:rsidR="00000000" w:rsidRPr="00000000">
        <w:rPr>
          <w:rtl w:val="0"/>
        </w:rPr>
        <w:t xml:space="preserve">  sin modificar el LLM.</w:t>
      </w:r>
    </w:p>
    <w:p w:rsidR="00000000" w:rsidDel="00000000" w:rsidP="00000000" w:rsidRDefault="00000000" w:rsidRPr="00000000" w14:paraId="0000001F">
      <w:pPr>
        <w:pStyle w:val="Heading5"/>
        <w:rPr/>
      </w:pPr>
      <w:bookmarkStart w:colFirst="0" w:colLast="0" w:name="_q0xeyb2hnd54" w:id="9"/>
      <w:bookmarkEnd w:id="9"/>
      <w:r w:rsidDel="00000000" w:rsidR="00000000" w:rsidRPr="00000000">
        <w:rPr>
          <w:rtl w:val="0"/>
        </w:rPr>
        <w:t xml:space="preserve">Componentes Críticos del Harness</w:t>
      </w:r>
    </w:p>
    <w:p w:rsidR="00000000" w:rsidDel="00000000" w:rsidP="00000000" w:rsidRDefault="00000000" w:rsidRPr="00000000" w14:paraId="00000020">
      <w:pPr>
        <w:numPr>
          <w:ilvl w:val="0"/>
          <w:numId w:val="8"/>
        </w:numPr>
        <w:ind w:left="720" w:hanging="360"/>
        <w:rPr>
          <w:u w:val="none"/>
        </w:rPr>
      </w:pPr>
      <w:r w:rsidDel="00000000" w:rsidR="00000000" w:rsidRPr="00000000">
        <w:rPr>
          <w:b w:val="1"/>
          <w:bCs w:val="1"/>
          <w:rtl w:val="0"/>
        </w:rPr>
        <w:t xml:space="preserve">Filesystems:</w:t>
      </w:r>
      <w:r w:rsidDel="00000000" w:rsidR="00000000" w:rsidRPr="00000000">
        <w:rPr>
          <w:rtl w:val="0"/>
        </w:rPr>
        <w:t xml:space="preserve">  No son solo almacenamiento; actúan como una  </w:t>
      </w:r>
      <w:r w:rsidDel="00000000" w:rsidR="00000000" w:rsidRPr="00000000">
        <w:rPr>
          <w:b w:val="1"/>
          <w:bCs w:val="1"/>
          <w:rtl w:val="0"/>
        </w:rPr>
        <w:t xml:space="preserve">superficie de colaboración natural</w:t>
      </w:r>
      <w:r w:rsidDel="00000000" w:rsidR="00000000" w:rsidRPr="00000000">
        <w:rPr>
          <w:rtl w:val="0"/>
        </w:rPr>
        <w:t xml:space="preserve">  entre agentes y humanos, permitiendo estados duraderos que sobreviven a una sola sesión.</w:t>
      </w:r>
    </w:p>
    <w:p w:rsidR="00000000" w:rsidDel="00000000" w:rsidP="00000000" w:rsidRDefault="00000000" w:rsidRPr="00000000" w14:paraId="00000021">
      <w:pPr>
        <w:numPr>
          <w:ilvl w:val="0"/>
          <w:numId w:val="8"/>
        </w:numPr>
        <w:ind w:left="720" w:hanging="360"/>
        <w:rPr>
          <w:u w:val="none"/>
        </w:rPr>
      </w:pPr>
      <w:r w:rsidDel="00000000" w:rsidR="00000000" w:rsidRPr="00000000">
        <w:rPr>
          <w:b w:val="1"/>
          <w:bCs w:val="1"/>
          <w:rtl w:val="0"/>
        </w:rPr>
        <w:t xml:space="preserve">Sandboxes:</w:t>
      </w:r>
      <w:r w:rsidDel="00000000" w:rsidR="00000000" w:rsidRPr="00000000">
        <w:rPr>
          <w:rtl w:val="0"/>
        </w:rPr>
        <w:t xml:space="preserve">  Entornos de ejecución aislados (microVMs) vitales para ejecutar código generado sin comprometer la red corporativa.</w:t>
      </w:r>
    </w:p>
    <w:p w:rsidR="00000000" w:rsidDel="00000000" w:rsidP="00000000" w:rsidRDefault="00000000" w:rsidRPr="00000000" w14:paraId="00000022">
      <w:pPr>
        <w:numPr>
          <w:ilvl w:val="0"/>
          <w:numId w:val="8"/>
        </w:numPr>
        <w:ind w:left="720" w:hanging="360"/>
        <w:rPr>
          <w:u w:val="none"/>
        </w:rPr>
      </w:pPr>
      <w:r w:rsidDel="00000000" w:rsidR="00000000" w:rsidRPr="00000000">
        <w:rPr>
          <w:b w:val="1"/>
          <w:bCs w:val="1"/>
          <w:rtl w:val="0"/>
        </w:rPr>
        <w:t xml:space="preserve">Gestión de Contexto y "Context Rot":</w:t>
      </w:r>
      <w:r w:rsidDel="00000000" w:rsidR="00000000" w:rsidRPr="00000000">
        <w:rPr>
          <w:rtl w:val="0"/>
        </w:rPr>
        <w:t xml:space="preserve">  Implementación de  </w:t>
      </w:r>
      <w:r w:rsidDel="00000000" w:rsidR="00000000" w:rsidRPr="00000000">
        <w:rPr>
          <w:b w:val="1"/>
          <w:bCs w:val="1"/>
          <w:rtl w:val="0"/>
        </w:rPr>
        <w:t xml:space="preserve">Progressive Disclosure</w:t>
      </w:r>
      <w:r w:rsidDel="00000000" w:rsidR="00000000" w:rsidRPr="00000000">
        <w:rPr>
          <w:rtl w:val="0"/>
        </w:rPr>
        <w:t xml:space="preserve">  (divulgación progresiva) mediante  </w:t>
      </w:r>
      <w:r w:rsidDel="00000000" w:rsidR="00000000" w:rsidRPr="00000000">
        <w:rPr>
          <w:i w:val="1"/>
          <w:iCs w:val="1"/>
          <w:rtl w:val="0"/>
        </w:rPr>
        <w:t xml:space="preserve">Skills</w:t>
      </w:r>
      <w:r w:rsidDel="00000000" w:rsidR="00000000" w:rsidRPr="00000000">
        <w:rPr>
          <w:rtl w:val="0"/>
        </w:rPr>
        <w:t xml:space="preserve">  para cargar herramientas solo cuando son necesarias. Se deben usar estrategias de compactación y  </w:t>
      </w:r>
      <w:r w:rsidDel="00000000" w:rsidR="00000000" w:rsidRPr="00000000">
        <w:rPr>
          <w:b w:val="1"/>
          <w:bCs w:val="1"/>
          <w:rtl w:val="0"/>
        </w:rPr>
        <w:t xml:space="preserve">Tool call offloading</w:t>
      </w:r>
      <w:r w:rsidDel="00000000" w:rsidR="00000000" w:rsidRPr="00000000">
        <w:rPr>
          <w:rtl w:val="0"/>
        </w:rPr>
        <w:t xml:space="preserve">  para evitar que salidas voluminosas saturen la memoria activa.</w:t>
      </w:r>
    </w:p>
    <w:p w:rsidR="00000000" w:rsidDel="00000000" w:rsidP="00000000" w:rsidRDefault="00000000" w:rsidRPr="00000000" w14:paraId="00000023">
      <w:pPr>
        <w:numPr>
          <w:ilvl w:val="0"/>
          <w:numId w:val="8"/>
        </w:numPr>
        <w:ind w:left="720" w:hanging="360"/>
        <w:rPr>
          <w:u w:val="none"/>
        </w:rPr>
      </w:pPr>
      <w:r w:rsidDel="00000000" w:rsidR="00000000" w:rsidRPr="00000000">
        <w:rPr>
          <w:b w:val="1"/>
          <w:bCs w:val="1"/>
          <w:rtl w:val="0"/>
        </w:rPr>
        <w:t xml:space="preserve">Bucles de Verificación (Plan-Act-Observe):</w:t>
      </w:r>
      <w:r w:rsidDel="00000000" w:rsidR="00000000" w:rsidRPr="00000000">
        <w:rPr>
          <w:rtl w:val="0"/>
        </w:rPr>
        <w:t xml:space="preserve">  El ciclo de mejora continua donde el agente evalúa su propio progreso frente a un objetivo. Para tareas de largo horizonte, el uso de  </w:t>
      </w:r>
      <w:r w:rsidDel="00000000" w:rsidR="00000000" w:rsidRPr="00000000">
        <w:rPr>
          <w:b w:val="1"/>
          <w:bCs w:val="1"/>
          <w:rtl w:val="0"/>
        </w:rPr>
        <w:t xml:space="preserve">Ralph Loops</w:t>
      </w:r>
      <w:r w:rsidDel="00000000" w:rsidR="00000000" w:rsidRPr="00000000">
        <w:rPr>
          <w:rtl w:val="0"/>
        </w:rPr>
        <w:t xml:space="preserve">  es indispensable para interceptar intentos de salida prematura y forzar la continuación del trabajo en ventanas de contexto limpias.</w:t>
      </w:r>
      <w:r w:rsidDel="00000000" w:rsidR="00000000" w:rsidRPr="00000000">
        <w:rPr>
          <w:b w:val="1"/>
          <w:bCs w:val="1"/>
          <w:rtl w:val="0"/>
        </w:rPr>
        <w:t xml:space="preserve">Advertencia de Co-evolución:</w:t>
      </w:r>
      <w:r w:rsidDel="00000000" w:rsidR="00000000" w:rsidRPr="00000000">
        <w:rPr>
          <w:rtl w:val="0"/>
        </w:rPr>
        <w:t xml:space="preserve">  Existe un riesgo estratégico de "bloqueo" ( </w:t>
      </w:r>
      <w:r w:rsidDel="00000000" w:rsidR="00000000" w:rsidRPr="00000000">
        <w:rPr>
          <w:i w:val="1"/>
          <w:iCs w:val="1"/>
          <w:rtl w:val="0"/>
        </w:rPr>
        <w:t xml:space="preserve">lock-in</w:t>
      </w:r>
      <w:r w:rsidDel="00000000" w:rsidR="00000000" w:rsidRPr="00000000">
        <w:rPr>
          <w:rtl w:val="0"/>
        </w:rPr>
        <w:t xml:space="preserve"> ); los modelos entrenados dentro de un harness específico (ej. Claude Code) pueden volverse dependientes de esas herramientas, haciendo que la elección del harness sea una decisión arquitectónica de largo plazo.</w:t>
      </w:r>
    </w:p>
    <w:p w:rsidR="00000000" w:rsidDel="00000000" w:rsidP="00000000" w:rsidRDefault="00000000" w:rsidRPr="00000000" w14:paraId="00000024">
      <w:pPr>
        <w:pStyle w:val="Heading4"/>
        <w:rPr/>
      </w:pPr>
      <w:bookmarkStart w:colFirst="0" w:colLast="0" w:name="_glcwldmjxoc3" w:id="10"/>
      <w:bookmarkEnd w:id="10"/>
      <w:r w:rsidDel="00000000" w:rsidR="00000000" w:rsidRPr="00000000">
        <w:rPr>
          <w:rtl w:val="0"/>
        </w:rPr>
        <w:t xml:space="preserve">5. Gobernanza y Seguridad: Guardian Agents y Cumplimiento</w:t>
      </w:r>
    </w:p>
    <w:p w:rsidR="00000000" w:rsidDel="00000000" w:rsidP="00000000" w:rsidRDefault="00000000" w:rsidRPr="00000000" w14:paraId="00000025">
      <w:pPr>
        <w:rPr/>
      </w:pPr>
      <w:r w:rsidDel="00000000" w:rsidR="00000000" w:rsidRPr="00000000">
        <w:rPr>
          <w:rtl w:val="0"/>
        </w:rPr>
        <w:t xml:space="preserve">La autonomía sin control es una responsabilidad financiera. La predicción de Gartner sobre cancelaciones masivas de proyectos se basa en la falta de capas de confianza en tiempo real.</w:t>
      </w:r>
    </w:p>
    <w:p w:rsidR="00000000" w:rsidDel="00000000" w:rsidP="00000000" w:rsidRDefault="00000000" w:rsidRPr="00000000" w14:paraId="00000026">
      <w:pPr>
        <w:pStyle w:val="Heading5"/>
        <w:rPr/>
      </w:pPr>
      <w:bookmarkStart w:colFirst="0" w:colLast="0" w:name="_c82jtsxl3mp" w:id="11"/>
      <w:bookmarkEnd w:id="11"/>
      <w:r w:rsidDel="00000000" w:rsidR="00000000" w:rsidRPr="00000000">
        <w:rPr>
          <w:rtl w:val="0"/>
        </w:rPr>
        <w:t xml:space="preserve">El Rol del Guardian Agent</w:t>
      </w:r>
    </w:p>
    <w:p w:rsidR="00000000" w:rsidDel="00000000" w:rsidP="00000000" w:rsidRDefault="00000000" w:rsidRPr="00000000" w14:paraId="00000027">
      <w:pPr>
        <w:rPr/>
      </w:pPr>
      <w:r w:rsidDel="00000000" w:rsidR="00000000" w:rsidRPr="00000000">
        <w:rPr>
          <w:rtl w:val="0"/>
        </w:rPr>
        <w:t xml:space="preserve">El  </w:t>
      </w:r>
      <w:r w:rsidDel="00000000" w:rsidR="00000000" w:rsidRPr="00000000">
        <w:rPr>
          <w:b w:val="1"/>
          <w:bCs w:val="1"/>
          <w:rtl w:val="0"/>
        </w:rPr>
        <w:t xml:space="preserve">Guardian Agent</w:t>
      </w:r>
      <w:r w:rsidDel="00000000" w:rsidR="00000000" w:rsidRPr="00000000">
        <w:rPr>
          <w:rtl w:val="0"/>
        </w:rPr>
        <w:t xml:space="preserve">  surge como el componente de gobernanza definitivo, proyectando capturar entre el  </w:t>
      </w:r>
      <w:r w:rsidDel="00000000" w:rsidR="00000000" w:rsidRPr="00000000">
        <w:rPr>
          <w:b w:val="1"/>
          <w:bCs w:val="1"/>
          <w:rtl w:val="0"/>
        </w:rPr>
        <w:t xml:space="preserve">10-15% del mercado agéntico</w:t>
      </w:r>
      <w:r w:rsidDel="00000000" w:rsidR="00000000" w:rsidRPr="00000000">
        <w:rPr>
          <w:rtl w:val="0"/>
        </w:rPr>
        <w:t xml:space="preserve"> . Su función es actuar como una  </w:t>
      </w:r>
      <w:r w:rsidDel="00000000" w:rsidR="00000000" w:rsidRPr="00000000">
        <w:rPr>
          <w:b w:val="1"/>
          <w:bCs w:val="1"/>
          <w:rtl w:val="0"/>
        </w:rPr>
        <w:t xml:space="preserve">Capa de Confianza en Tiempo Real</w:t>
      </w:r>
      <w:r w:rsidDel="00000000" w:rsidR="00000000" w:rsidRPr="00000000">
        <w:rPr>
          <w:rtl w:val="0"/>
        </w:rPr>
        <w:t xml:space="preserve"> , monitoreando a otros agentes para detectar:</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Hallucinaciones y Scope Drift:</w:t>
      </w:r>
      <w:r w:rsidDel="00000000" w:rsidR="00000000" w:rsidRPr="00000000">
        <w:rPr>
          <w:rtl w:val="0"/>
        </w:rPr>
        <w:t xml:space="preserve">  Desviaciones del objetivo original o invención de datos.</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Violaciones de Cumplimiento:</w:t>
      </w:r>
      <w:r w:rsidDel="00000000" w:rsidR="00000000" w:rsidRPr="00000000">
        <w:rPr>
          <w:rtl w:val="0"/>
        </w:rPr>
        <w:t xml:space="preserve">  Ejecución de acciones que contravienen políticas corporativas o éticas.</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Seguridad en Ejecución:</w:t>
      </w:r>
      <w:r w:rsidDel="00000000" w:rsidR="00000000" w:rsidRPr="00000000">
        <w:rPr>
          <w:rtl w:val="0"/>
        </w:rPr>
        <w:t xml:space="preserve">  Intentos de inyección de código o escalada de privilegios en el sandbox.</w:t>
      </w:r>
    </w:p>
    <w:p w:rsidR="00000000" w:rsidDel="00000000" w:rsidP="00000000" w:rsidRDefault="00000000" w:rsidRPr="00000000" w14:paraId="0000002B">
      <w:pPr>
        <w:pStyle w:val="Heading5"/>
        <w:rPr/>
      </w:pPr>
      <w:bookmarkStart w:colFirst="0" w:colLast="0" w:name="_36adhhknz0vt" w:id="12"/>
      <w:bookmarkEnd w:id="12"/>
      <w:r w:rsidDel="00000000" w:rsidR="00000000" w:rsidRPr="00000000">
        <w:rPr>
          <w:rtl w:val="0"/>
        </w:rPr>
        <w:t xml:space="preserve">Modelos de Autorización</w:t>
      </w:r>
    </w:p>
    <w:p w:rsidR="00000000" w:rsidDel="00000000" w:rsidP="00000000" w:rsidRDefault="00000000" w:rsidRPr="00000000" w14:paraId="0000002C">
      <w:pPr>
        <w:rPr/>
      </w:pPr>
      <w:r w:rsidDel="00000000" w:rsidR="00000000" w:rsidRPr="00000000">
        <w:rPr>
          <w:rtl w:val="0"/>
        </w:rPr>
        <w:t xml:space="preserve">La arquitectura debe decidir entre dos modelos:</w:t>
      </w:r>
    </w:p>
    <w:p w:rsidR="00000000" w:rsidDel="00000000" w:rsidP="00000000" w:rsidRDefault="00000000" w:rsidRPr="00000000" w14:paraId="0000002D">
      <w:pPr>
        <w:numPr>
          <w:ilvl w:val="0"/>
          <w:numId w:val="6"/>
        </w:numPr>
        <w:ind w:left="720" w:hanging="360"/>
        <w:rPr>
          <w:u w:val="none"/>
        </w:rPr>
      </w:pPr>
      <w:r w:rsidDel="00000000" w:rsidR="00000000" w:rsidRPr="00000000">
        <w:rPr>
          <w:b w:val="1"/>
          <w:bCs w:val="1"/>
          <w:rtl w:val="0"/>
        </w:rPr>
        <w:t xml:space="preserve">On-behalf-of authorization:</w:t>
      </w:r>
      <w:r w:rsidDel="00000000" w:rsidR="00000000" w:rsidRPr="00000000">
        <w:rPr>
          <w:rtl w:val="0"/>
        </w:rPr>
        <w:t xml:space="preserve">  El agente actúa con la identidad del usuario, requiriendo un mapeo estricto de credenciales.</w:t>
      </w:r>
    </w:p>
    <w:p w:rsidR="00000000" w:rsidDel="00000000" w:rsidP="00000000" w:rsidRDefault="00000000" w:rsidRPr="00000000" w14:paraId="0000002E">
      <w:pPr>
        <w:numPr>
          <w:ilvl w:val="0"/>
          <w:numId w:val="6"/>
        </w:numPr>
        <w:ind w:left="720" w:hanging="360"/>
        <w:rPr>
          <w:u w:val="none"/>
        </w:rPr>
      </w:pPr>
      <w:r w:rsidDel="00000000" w:rsidR="00000000" w:rsidRPr="00000000">
        <w:rPr>
          <w:b w:val="1"/>
          <w:bCs w:val="1"/>
          <w:rtl w:val="0"/>
        </w:rPr>
        <w:t xml:space="preserve">Fixed-credential authorization:</w:t>
      </w:r>
      <w:r w:rsidDel="00000000" w:rsidR="00000000" w:rsidRPr="00000000">
        <w:rPr>
          <w:rtl w:val="0"/>
        </w:rPr>
        <w:t xml:space="preserve">  El agente posee su propia cuenta con permisos granulares, lo cual reduce la superficie de ataque pero requiere ganchos de supervisión humana ( </w:t>
      </w:r>
      <w:r w:rsidDel="00000000" w:rsidR="00000000" w:rsidRPr="00000000">
        <w:rPr>
          <w:i w:val="1"/>
          <w:iCs w:val="1"/>
          <w:rtl w:val="0"/>
        </w:rPr>
        <w:t xml:space="preserve">human-in-the-loop</w:t>
      </w:r>
      <w:r w:rsidDel="00000000" w:rsidR="00000000" w:rsidRPr="00000000">
        <w:rPr>
          <w:rtl w:val="0"/>
        </w:rPr>
        <w:t xml:space="preserve"> ) para acciones críticas.</w:t>
      </w:r>
    </w:p>
    <w:p w:rsidR="00000000" w:rsidDel="00000000" w:rsidP="00000000" w:rsidRDefault="00000000" w:rsidRPr="00000000" w14:paraId="0000002F">
      <w:pPr>
        <w:pStyle w:val="Heading4"/>
        <w:rPr/>
      </w:pPr>
      <w:bookmarkStart w:colFirst="0" w:colLast="0" w:name="_m9zfreqwv2lb" w:id="13"/>
      <w:bookmarkEnd w:id="13"/>
      <w:r w:rsidDel="00000000" w:rsidR="00000000" w:rsidRPr="00000000">
        <w:rPr>
          <w:rtl w:val="0"/>
        </w:rPr>
        <w:t xml:space="preserve">6. Guía de Implementación y Roadmap Estratégico</w:t>
      </w:r>
    </w:p>
    <w:p w:rsidR="00000000" w:rsidDel="00000000" w:rsidP="00000000" w:rsidRDefault="00000000" w:rsidRPr="00000000" w14:paraId="00000030">
      <w:pPr>
        <w:rPr/>
      </w:pPr>
      <w:r w:rsidDel="00000000" w:rsidR="00000000" w:rsidRPr="00000000">
        <w:rPr>
          <w:rtl w:val="0"/>
        </w:rPr>
        <w:t xml:space="preserve">La tecnología debe seguir al negocio. El despliegue debe ser incremental, priorizando la estabilidad de las capas inferiores.</w:t>
      </w:r>
    </w:p>
    <w:p w:rsidR="00000000" w:rsidDel="00000000" w:rsidP="00000000" w:rsidRDefault="00000000" w:rsidRPr="00000000" w14:paraId="00000031">
      <w:pPr>
        <w:pStyle w:val="Heading5"/>
        <w:rPr/>
      </w:pPr>
      <w:bookmarkStart w:colFirst="0" w:colLast="0" w:name="_d1fjk6fm0qsr" w:id="14"/>
      <w:bookmarkEnd w:id="14"/>
      <w:r w:rsidDel="00000000" w:rsidR="00000000" w:rsidRPr="00000000">
        <w:rPr>
          <w:rtl w:val="0"/>
        </w:rPr>
        <w:t xml:space="preserve">Fases de Despliegue Sugeridas</w:t>
      </w:r>
    </w:p>
    <w:p w:rsidR="00000000" w:rsidDel="00000000" w:rsidP="00000000" w:rsidRDefault="00000000" w:rsidRPr="00000000" w14:paraId="00000032">
      <w:pPr>
        <w:numPr>
          <w:ilvl w:val="0"/>
          <w:numId w:val="7"/>
        </w:numPr>
        <w:ind w:left="720" w:hanging="360"/>
        <w:rPr>
          <w:u w:val="none"/>
        </w:rPr>
      </w:pPr>
      <w:r w:rsidDel="00000000" w:rsidR="00000000" w:rsidRPr="00000000">
        <w:rPr>
          <w:b w:val="1"/>
          <w:bCs w:val="1"/>
          <w:rtl w:val="0"/>
        </w:rPr>
        <w:t xml:space="preserve">Fase 1: Cimentación MCP (2-6 semanas):</w:t>
      </w:r>
      <w:r w:rsidDel="00000000" w:rsidR="00000000" w:rsidRPr="00000000">
        <w:rPr>
          <w:rtl w:val="0"/>
        </w:rPr>
        <w:t xml:space="preserve">  Auditoría de herramientas internas y creación de servidores MCP. Imperativo:  </w:t>
      </w:r>
      <w:r w:rsidDel="00000000" w:rsidR="00000000" w:rsidRPr="00000000">
        <w:rPr>
          <w:b w:val="1"/>
          <w:bCs w:val="1"/>
          <w:rtl w:val="0"/>
        </w:rPr>
        <w:t xml:space="preserve">Diseñar para servidores remotos (Streamable HTTP)</w:t>
      </w:r>
      <w:r w:rsidDel="00000000" w:rsidR="00000000" w:rsidRPr="00000000">
        <w:rPr>
          <w:rtl w:val="0"/>
        </w:rPr>
        <w:t xml:space="preserve">  desde el inicio para evitar la trampa de las sesiones con estado.</w:t>
      </w:r>
    </w:p>
    <w:p w:rsidR="00000000" w:rsidDel="00000000" w:rsidP="00000000" w:rsidRDefault="00000000" w:rsidRPr="00000000" w14:paraId="00000033">
      <w:pPr>
        <w:numPr>
          <w:ilvl w:val="0"/>
          <w:numId w:val="7"/>
        </w:numPr>
        <w:ind w:left="720" w:hanging="360"/>
        <w:rPr>
          <w:u w:val="none"/>
        </w:rPr>
      </w:pPr>
      <w:r w:rsidDel="00000000" w:rsidR="00000000" w:rsidRPr="00000000">
        <w:rPr>
          <w:b w:val="1"/>
          <w:bCs w:val="1"/>
          <w:rtl w:val="0"/>
        </w:rPr>
        <w:t xml:space="preserve">Fase 2: Arquitectura A2A (4-12 semanas):</w:t>
      </w:r>
      <w:r w:rsidDel="00000000" w:rsidR="00000000" w:rsidRPr="00000000">
        <w:rPr>
          <w:rtl w:val="0"/>
        </w:rPr>
        <w:t xml:space="preserve">  Diseño de la topología multi-agente. Despliegue de Agent Cards con perfiles de OAuth 2.0 y políticas de delegación activa.</w:t>
      </w:r>
    </w:p>
    <w:p w:rsidR="00000000" w:rsidDel="00000000" w:rsidP="00000000" w:rsidRDefault="00000000" w:rsidRPr="00000000" w14:paraId="00000034">
      <w:pPr>
        <w:numPr>
          <w:ilvl w:val="0"/>
          <w:numId w:val="7"/>
        </w:numPr>
        <w:ind w:left="720" w:hanging="360"/>
        <w:rPr>
          <w:u w:val="none"/>
        </w:rPr>
      </w:pPr>
      <w:r w:rsidDel="00000000" w:rsidR="00000000" w:rsidRPr="00000000">
        <w:rPr>
          <w:b w:val="1"/>
          <w:bCs w:val="1"/>
          <w:rtl w:val="0"/>
        </w:rPr>
        <w:t xml:space="preserve">Fase 3: Protocolos de Comercio (6-24 meses):</w:t>
      </w:r>
      <w:r w:rsidDel="00000000" w:rsidR="00000000" w:rsidRPr="00000000">
        <w:rPr>
          <w:rtl w:val="0"/>
        </w:rPr>
        <w:t xml:space="preserve">  Introducción de ACP/UCP para transacciones autónomas solo tras estabilizar la capa de coordinación.</w:t>
      </w:r>
    </w:p>
    <w:p w:rsidR="00000000" w:rsidDel="00000000" w:rsidP="00000000" w:rsidRDefault="00000000" w:rsidRPr="00000000" w14:paraId="00000035">
      <w:pPr>
        <w:pStyle w:val="Heading5"/>
        <w:rPr/>
      </w:pPr>
      <w:bookmarkStart w:colFirst="0" w:colLast="0" w:name="_cdlplvmfpkp4" w:id="15"/>
      <w:bookmarkEnd w:id="15"/>
      <w:r w:rsidDel="00000000" w:rsidR="00000000" w:rsidRPr="00000000">
        <w:rPr>
          <w:rtl w:val="0"/>
        </w:rPr>
        <w:t xml:space="preserve">Imperativos de Arquitectura</w:t>
      </w:r>
    </w:p>
    <w:p w:rsidR="00000000" w:rsidDel="00000000" w:rsidP="00000000" w:rsidRDefault="00000000" w:rsidRPr="00000000" w14:paraId="00000036">
      <w:pPr>
        <w:numPr>
          <w:ilvl w:val="0"/>
          <w:numId w:val="5"/>
        </w:numPr>
        <w:ind w:left="720" w:hanging="360"/>
        <w:rPr>
          <w:u w:val="none"/>
        </w:rPr>
      </w:pPr>
      <w:r w:rsidDel="00000000" w:rsidR="00000000" w:rsidRPr="00000000">
        <w:rPr>
          <w:b w:val="1"/>
          <w:bCs w:val="1"/>
          <w:rtl w:val="0"/>
        </w:rPr>
        <w:t xml:space="preserve">Tratar el contexto como un recurso escaso:</w:t>
      </w:r>
      <w:r w:rsidDel="00000000" w:rsidR="00000000" w:rsidRPr="00000000">
        <w:rPr>
          <w:rtl w:val="0"/>
        </w:rPr>
        <w:t xml:space="preserve">  No inundar al modelo con herramientas innecesarias; usar divulgación progresiva.</w:t>
      </w:r>
    </w:p>
    <w:p w:rsidR="00000000" w:rsidDel="00000000" w:rsidP="00000000" w:rsidRDefault="00000000" w:rsidRPr="00000000" w14:paraId="00000037">
      <w:pPr>
        <w:numPr>
          <w:ilvl w:val="0"/>
          <w:numId w:val="5"/>
        </w:numPr>
        <w:ind w:left="720" w:hanging="360"/>
        <w:rPr>
          <w:u w:val="none"/>
        </w:rPr>
      </w:pPr>
      <w:r w:rsidDel="00000000" w:rsidR="00000000" w:rsidRPr="00000000">
        <w:rPr>
          <w:b w:val="1"/>
          <w:bCs w:val="1"/>
          <w:rtl w:val="0"/>
        </w:rPr>
        <w:t xml:space="preserve">No hardcodear la autenticación:</w:t>
      </w:r>
      <w:r w:rsidDel="00000000" w:rsidR="00000000" w:rsidRPr="00000000">
        <w:rPr>
          <w:rtl w:val="0"/>
        </w:rPr>
        <w:t xml:space="preserve">  Implementar OAuth 2.1 integrado en los protocolos de transporte.</w:t>
      </w:r>
    </w:p>
    <w:p w:rsidR="00000000" w:rsidDel="00000000" w:rsidP="00000000" w:rsidRDefault="00000000" w:rsidRPr="00000000" w14:paraId="00000038">
      <w:pPr>
        <w:numPr>
          <w:ilvl w:val="0"/>
          <w:numId w:val="5"/>
        </w:numPr>
        <w:ind w:left="720" w:hanging="360"/>
        <w:rPr>
          <w:u w:val="none"/>
        </w:rPr>
      </w:pPr>
      <w:r w:rsidDel="00000000" w:rsidR="00000000" w:rsidRPr="00000000">
        <w:rPr>
          <w:b w:val="1"/>
          <w:bCs w:val="1"/>
          <w:rtl w:val="0"/>
        </w:rPr>
        <w:t xml:space="preserve">Harness-first testing:</w:t>
      </w:r>
      <w:r w:rsidDel="00000000" w:rsidR="00000000" w:rsidRPr="00000000">
        <w:rPr>
          <w:rtl w:val="0"/>
        </w:rPr>
        <w:t xml:space="preserve">  Evaluar el éxito del agente basándose en la robustez de sus bucles de verificación.</w:t>
      </w:r>
    </w:p>
    <w:p w:rsidR="00000000" w:rsidDel="00000000" w:rsidP="00000000" w:rsidRDefault="00000000" w:rsidRPr="00000000" w14:paraId="00000039">
      <w:pPr>
        <w:numPr>
          <w:ilvl w:val="0"/>
          <w:numId w:val="5"/>
        </w:numPr>
        <w:ind w:left="720" w:hanging="360"/>
        <w:rPr>
          <w:u w:val="none"/>
        </w:rPr>
      </w:pPr>
      <w:r w:rsidDel="00000000" w:rsidR="00000000" w:rsidRPr="00000000">
        <w:rPr>
          <w:b w:val="1"/>
          <w:bCs w:val="1"/>
          <w:rtl w:val="0"/>
        </w:rPr>
        <w:t xml:space="preserve">Gobernanza activa:</w:t>
      </w:r>
      <w:r w:rsidDel="00000000" w:rsidR="00000000" w:rsidRPr="00000000">
        <w:rPr>
          <w:rtl w:val="0"/>
        </w:rPr>
        <w:t xml:space="preserve">  Ningún agente de producción debe operar sin un Guardian Agent supervisando el flujo de tokens y acciones.</w:t>
      </w:r>
    </w:p>
    <w:p w:rsidR="00000000" w:rsidDel="00000000" w:rsidP="00000000" w:rsidRDefault="00000000" w:rsidRPr="00000000" w14:paraId="0000003A">
      <w:pPr>
        <w:numPr>
          <w:ilvl w:val="0"/>
          <w:numId w:val="5"/>
        </w:numPr>
        <w:ind w:left="720" w:hanging="360"/>
        <w:rPr>
          <w:u w:val="none"/>
        </w:rPr>
      </w:pPr>
      <w:r w:rsidDel="00000000" w:rsidR="00000000" w:rsidRPr="00000000">
        <w:rPr>
          <w:b w:val="1"/>
          <w:bCs w:val="1"/>
          <w:rtl w:val="0"/>
        </w:rPr>
        <w:t xml:space="preserve">Persistencia vía Filesystem:</w:t>
      </w:r>
      <w:r w:rsidDel="00000000" w:rsidR="00000000" w:rsidRPr="00000000">
        <w:rPr>
          <w:rtl w:val="0"/>
        </w:rPr>
        <w:t xml:space="preserve">  Utilizar el sistema de archivos como el registro de verdad para la colaboración entre agentes.A medida que avanzamos, los harnesses se volverán más delgados conforme los modelos absorban capacidades nativas de planificación, pero la infraestructura de protocolos (MCP/A2A) seguirá siendo el tejido conectivo indispensable de la empresa agéntica.</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