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0k8gfen8dxn" w:id="0"/>
      <w:bookmarkEnd w:id="0"/>
      <w:r w:rsidDel="00000000" w:rsidR="00000000" w:rsidRPr="00000000">
        <w:rPr>
          <w:rtl w:val="0"/>
        </w:rPr>
        <w:t xml:space="preserve">Guía 2026: El Ecosistema de Protocolos para Agentes de IA</w:t>
      </w:r>
    </w:p>
    <w:p w:rsidR="00000000" w:rsidDel="00000000" w:rsidP="00000000" w:rsidRDefault="00000000" w:rsidRPr="00000000" w14:paraId="00000002">
      <w:pPr>
        <w:pStyle w:val="Heading4"/>
        <w:rPr/>
      </w:pPr>
      <w:bookmarkStart w:colFirst="0" w:colLast="0" w:name="_ij19351qfpu5" w:id="1"/>
      <w:bookmarkEnd w:id="1"/>
      <w:r w:rsidDel="00000000" w:rsidR="00000000" w:rsidRPr="00000000">
        <w:rPr>
          <w:rtl w:val="0"/>
        </w:rPr>
        <w:t xml:space="preserve">1. El Nuevo Orden de la Inteligencia Agéntica</w:t>
      </w:r>
    </w:p>
    <w:p w:rsidR="00000000" w:rsidDel="00000000" w:rsidP="00000000" w:rsidRDefault="00000000" w:rsidRPr="00000000" w14:paraId="00000003">
      <w:pPr>
        <w:rPr/>
      </w:pPr>
      <w:r w:rsidDel="00000000" w:rsidR="00000000" w:rsidRPr="00000000">
        <w:rPr>
          <w:rtl w:val="0"/>
        </w:rPr>
        <w:t xml:space="preserve">El panorama de la Inteligencia Artificial ha experimentado una transformación radical. Lo que en 2024 era un caos de marcos de trabajo fragmentados y convenciones personalizadas, para el primer trimestre de 2026 se ha consolidado en una infraestructura unificada. Como arquitectos, hemos sido testigos del "gran cambio": la transición de integraciones ad-hoc hacia estándares industriales que permiten la interoperabilidad global."El año 2026 marca la era de la convergencia de protocolos. La infraestructura invisible que permite a los agentes de IA comunicarse ha pasado de ser un experimento de desarrolladores a convertirse en la columna vertebral de la arquitectura empresarial moderna."Para orientar nuestro diseño, debemos considerar estos tres hallazgos clave del mercado actual:</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Dominio del Acceso a Herramientas:</w:t>
      </w:r>
      <w:r w:rsidDel="00000000" w:rsidR="00000000" w:rsidRPr="00000000">
        <w:rPr>
          <w:rtl w:val="0"/>
        </w:rPr>
        <w:t xml:space="preserve">  El protocolo MCP se ha consolidado como el estándar de facto para la capa de herramientas, alcanzando los 97 millones de descargas mensuales y logrando una adopción universal por parte de Anthropic, OpenAI, Google y Microsoft.</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Madurez de la Coordinación:</w:t>
      </w:r>
      <w:r w:rsidDel="00000000" w:rsidR="00000000" w:rsidRPr="00000000">
        <w:rPr>
          <w:rtl w:val="0"/>
        </w:rPr>
        <w:t xml:space="preserve">  El protocolo A2A de Google, con más de 50 socios de lanzamiento, ha resuelto el problema de la orquestación entre agentes, permitiendo la delegación de tareas que los protocolos de herramientas no cubren.</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Fragmentación Productiva en Comercio:</w:t>
      </w:r>
      <w:r w:rsidDel="00000000" w:rsidR="00000000" w:rsidRPr="00000000">
        <w:rPr>
          <w:rtl w:val="0"/>
        </w:rPr>
        <w:t xml:space="preserve">  Han surgido capas especializadas (ACP y UCP) para gestionar transacciones y negociaciones, separando la lógica comercial de la lógica de comunicación general.Para entender cómo estos agentes operan, primero debemos visualizar la estructura en la que se apoyan: la pila de protocolos.</w:t>
      </w:r>
    </w:p>
    <w:p w:rsidR="00000000" w:rsidDel="00000000" w:rsidP="00000000" w:rsidRDefault="00000000" w:rsidRPr="00000000" w14:paraId="00000007">
      <w:pPr>
        <w:pStyle w:val="Heading4"/>
        <w:rPr/>
      </w:pPr>
      <w:bookmarkStart w:colFirst="0" w:colLast="0" w:name="_8qwh5blk6ys0" w:id="2"/>
      <w:bookmarkEnd w:id="2"/>
      <w:r w:rsidDel="00000000" w:rsidR="00000000" w:rsidRPr="00000000">
        <w:rPr>
          <w:rtl w:val="0"/>
        </w:rPr>
        <w:t xml:space="preserve">2. La Pila de Comunicación (The Stack): Una Visión de Capas</w:t>
      </w:r>
    </w:p>
    <w:p w:rsidR="00000000" w:rsidDel="00000000" w:rsidP="00000000" w:rsidRDefault="00000000" w:rsidRPr="00000000" w14:paraId="00000008">
      <w:pPr>
        <w:rPr/>
      </w:pPr>
      <w:r w:rsidDel="00000000" w:rsidR="00000000" w:rsidRPr="00000000">
        <w:rPr>
          <w:rtl w:val="0"/>
        </w:rPr>
        <w:t xml:space="preserve">En la arquitectura de 2026, los protocolos no compiten; se complementan en una estructura de capas interdependientes. Esta visión nos permite aislar responsabilidades y construir sistemas escalables.| Capa | Protocolo Primario | Función Crítica || ------ | ------ | ------ || </w:t>
      </w:r>
      <w:r w:rsidDel="00000000" w:rsidR="00000000" w:rsidRPr="00000000">
        <w:rPr>
          <w:b w:val="1"/>
          <w:bCs w:val="1"/>
          <w:rtl w:val="0"/>
        </w:rPr>
        <w:t xml:space="preserve">Comercio</w:t>
      </w:r>
      <w:r w:rsidDel="00000000" w:rsidR="00000000" w:rsidRPr="00000000">
        <w:rPr>
          <w:rtl w:val="0"/>
        </w:rPr>
        <w:t xml:space="preserve"> | ACP / UCP | Gestiona el intercambio de valor, transacciones financieras y semántica de cumplimiento. || </w:t>
      </w:r>
      <w:r w:rsidDel="00000000" w:rsidR="00000000" w:rsidRPr="00000000">
        <w:rPr>
          <w:b w:val="1"/>
          <w:bCs w:val="1"/>
          <w:rtl w:val="0"/>
        </w:rPr>
        <w:t xml:space="preserve">Coordinación</w:t>
      </w:r>
      <w:r w:rsidDel="00000000" w:rsidR="00000000" w:rsidRPr="00000000">
        <w:rPr>
          <w:rtl w:val="0"/>
        </w:rPr>
        <w:t xml:space="preserve"> | A2A (Agent-to-Agent) | Facilita el descubrimiento de capacidades y la delegación de tareas entre pares. || </w:t>
      </w:r>
      <w:r w:rsidDel="00000000" w:rsidR="00000000" w:rsidRPr="00000000">
        <w:rPr>
          <w:b w:val="1"/>
          <w:bCs w:val="1"/>
          <w:rtl w:val="0"/>
        </w:rPr>
        <w:t xml:space="preserve">Acceso a Herramientas</w:t>
      </w:r>
      <w:r w:rsidDel="00000000" w:rsidR="00000000" w:rsidRPr="00000000">
        <w:rPr>
          <w:rtl w:val="0"/>
        </w:rPr>
        <w:t xml:space="preserve"> | MCP (Model Context Protocol) | Actúa como el conector universal entre el razonamiento del modelo y las capacidades externas (APIs/Datos). || </w:t>
      </w:r>
      <w:r w:rsidDel="00000000" w:rsidR="00000000" w:rsidRPr="00000000">
        <w:rPr>
          <w:b w:val="1"/>
          <w:bCs w:val="1"/>
          <w:rtl w:val="0"/>
        </w:rPr>
        <w:t xml:space="preserve">Infraestructura</w:t>
      </w:r>
      <w:r w:rsidDel="00000000" w:rsidR="00000000" w:rsidRPr="00000000">
        <w:rPr>
          <w:rtl w:val="0"/>
        </w:rPr>
        <w:t xml:space="preserve"> | Modelo Base (Frontier Models) | Proporciona el "motor" cognitivo: planificación, razonamiento y procesamiento de lenguaje. |</w:t>
      </w:r>
    </w:p>
    <w:p w:rsidR="00000000" w:rsidDel="00000000" w:rsidP="00000000" w:rsidRDefault="00000000" w:rsidRPr="00000000" w14:paraId="00000009">
      <w:pPr>
        <w:rPr/>
      </w:pPr>
      <w:r w:rsidDel="00000000" w:rsidR="00000000" w:rsidRPr="00000000">
        <w:rPr>
          <w:rtl w:val="0"/>
        </w:rPr>
        <w:t xml:space="preserve">Con la pila clara, exploremos el protocolo que se ha convertido en el cimiento de casi toda integración: el MCP.</w:t>
      </w:r>
    </w:p>
    <w:p w:rsidR="00000000" w:rsidDel="00000000" w:rsidP="00000000" w:rsidRDefault="00000000" w:rsidRPr="00000000" w14:paraId="0000000A">
      <w:pPr>
        <w:pStyle w:val="Heading4"/>
        <w:rPr/>
      </w:pPr>
      <w:bookmarkStart w:colFirst="0" w:colLast="0" w:name="_jkr4y06zho29" w:id="3"/>
      <w:bookmarkEnd w:id="3"/>
      <w:r w:rsidDel="00000000" w:rsidR="00000000" w:rsidRPr="00000000">
        <w:rPr>
          <w:rtl w:val="0"/>
        </w:rPr>
        <w:t xml:space="preserve">3. MCP (Model Context Protocol): El Estándar para Herramientas y Datos</w:t>
      </w:r>
    </w:p>
    <w:p w:rsidR="00000000" w:rsidDel="00000000" w:rsidP="00000000" w:rsidRDefault="00000000" w:rsidRPr="00000000" w14:paraId="0000000B">
      <w:pPr>
        <w:rPr/>
      </w:pPr>
      <w:r w:rsidDel="00000000" w:rsidR="00000000" w:rsidRPr="00000000">
        <w:rPr>
          <w:rtl w:val="0"/>
        </w:rPr>
        <w:t xml:space="preserve">Originalmente concebido por Anthropic y ahora bajo la gobernanza neutral de la  </w:t>
      </w:r>
      <w:r w:rsidDel="00000000" w:rsidR="00000000" w:rsidRPr="00000000">
        <w:rPr>
          <w:i w:val="1"/>
          <w:iCs w:val="1"/>
          <w:rtl w:val="0"/>
        </w:rPr>
        <w:t xml:space="preserve">Agentic AI Foundation</w:t>
      </w:r>
      <w:r w:rsidDel="00000000" w:rsidR="00000000" w:rsidRPr="00000000">
        <w:rPr>
          <w:rtl w:val="0"/>
        </w:rPr>
        <w:t xml:space="preserve">  (Linux Foundation), el  </w:t>
      </w:r>
      <w:r w:rsidDel="00000000" w:rsidR="00000000" w:rsidRPr="00000000">
        <w:rPr>
          <w:b w:val="1"/>
          <w:bCs w:val="1"/>
          <w:rtl w:val="0"/>
        </w:rPr>
        <w:t xml:space="preserve">Model Context Protocol (MCP)</w:t>
      </w:r>
      <w:r w:rsidDel="00000000" w:rsidR="00000000" w:rsidRPr="00000000">
        <w:rPr>
          <w:rtl w:val="0"/>
        </w:rPr>
        <w:t xml:space="preserve">  es el tejido conectivo de 2026. Su éxito reside en su simplicidad: un servidor MCP es esencialmente un proceso JSON-RPC que expone capacidades.</w:t>
      </w:r>
      <w:r w:rsidDel="00000000" w:rsidR="00000000" w:rsidRPr="00000000">
        <w:rPr>
          <w:b w:val="1"/>
          <w:bCs w:val="1"/>
          <w:rtl w:val="0"/>
        </w:rPr>
        <w:t xml:space="preserve">Advertencia Arquitectónica:</w:t>
      </w:r>
      <w:r w:rsidDel="00000000" w:rsidR="00000000" w:rsidRPr="00000000">
        <w:rPr>
          <w:rtl w:val="0"/>
        </w:rPr>
        <w:t xml:space="preserve">  En 2026, la industria ha migrado del transporte  </w:t>
      </w:r>
      <w:r w:rsidDel="00000000" w:rsidR="00000000" w:rsidRPr="00000000">
        <w:rPr>
          <w:b w:val="1"/>
          <w:bCs w:val="1"/>
          <w:rtl w:val="0"/>
        </w:rPr>
        <w:t xml:space="preserve">stdio</w:t>
      </w:r>
      <w:r w:rsidDel="00000000" w:rsidR="00000000" w:rsidRPr="00000000">
        <w:rPr>
          <w:rtl w:val="0"/>
        </w:rPr>
        <w:t xml:space="preserve">  (procesos locales) hacia  </w:t>
      </w:r>
      <w:r w:rsidDel="00000000" w:rsidR="00000000" w:rsidRPr="00000000">
        <w:rPr>
          <w:b w:val="1"/>
          <w:bCs w:val="1"/>
          <w:rtl w:val="0"/>
        </w:rPr>
        <w:t xml:space="preserve">Streamable HTTP</w:t>
      </w:r>
      <w:r w:rsidDel="00000000" w:rsidR="00000000" w:rsidRPr="00000000">
        <w:rPr>
          <w:rtl w:val="0"/>
        </w:rPr>
        <w:t xml:space="preserve"> . Como arquitectos, debemos entender que la producción moderna exige servidores remotos sin estado (stateless), lo que introduce el desafío de gestionar sesiones persistentes detrás de equilibradores de carga.</w:t>
      </w:r>
    </w:p>
    <w:p w:rsidR="00000000" w:rsidDel="00000000" w:rsidP="00000000" w:rsidRDefault="00000000" w:rsidRPr="00000000" w14:paraId="0000000C">
      <w:pPr>
        <w:pStyle w:val="Heading5"/>
        <w:rPr/>
      </w:pPr>
      <w:bookmarkStart w:colFirst="0" w:colLast="0" w:name="_1q76pre3twly" w:id="4"/>
      <w:bookmarkEnd w:id="4"/>
      <w:r w:rsidDel="00000000" w:rsidR="00000000" w:rsidRPr="00000000">
        <w:rPr>
          <w:rtl w:val="0"/>
        </w:rPr>
        <w:t xml:space="preserve">Servidores MCP</w:t>
      </w:r>
    </w:p>
    <w:p w:rsidR="00000000" w:rsidDel="00000000" w:rsidP="00000000" w:rsidRDefault="00000000" w:rsidRPr="00000000" w14:paraId="0000000D">
      <w:pPr>
        <w:rPr/>
      </w:pPr>
      <w:r w:rsidDel="00000000" w:rsidR="00000000" w:rsidRPr="00000000">
        <w:rPr>
          <w:rtl w:val="0"/>
        </w:rPr>
        <w:t xml:space="preserve">Son los proveedores de capacidades. Sus componentes fundamentales son:</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Manifest:</w:t>
      </w:r>
      <w:r w:rsidDel="00000000" w:rsidR="00000000" w:rsidRPr="00000000">
        <w:rPr>
          <w:rtl w:val="0"/>
        </w:rPr>
        <w:t xml:space="preserve">  El inventario estructurado que describe qué herramientas y recursos están disponibles.</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Tools/Call:</w:t>
      </w:r>
      <w:r w:rsidDel="00000000" w:rsidR="00000000" w:rsidRPr="00000000">
        <w:rPr>
          <w:rtl w:val="0"/>
        </w:rPr>
        <w:t xml:space="preserve">  El punto final ejecutable donde el agente invoca funciones mediante esquemas JSON.</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Resources:</w:t>
      </w:r>
      <w:r w:rsidDel="00000000" w:rsidR="00000000" w:rsidRPr="00000000">
        <w:rPr>
          <w:rtl w:val="0"/>
        </w:rPr>
        <w:t xml:space="preserve">  Datos estáticos o dinámicos (logs, bases de datos) que el agente lee para nutrir su contexto.</w:t>
      </w:r>
    </w:p>
    <w:p w:rsidR="00000000" w:rsidDel="00000000" w:rsidP="00000000" w:rsidRDefault="00000000" w:rsidRPr="00000000" w14:paraId="00000011">
      <w:pPr>
        <w:pStyle w:val="Heading5"/>
        <w:rPr/>
      </w:pPr>
      <w:bookmarkStart w:colFirst="0" w:colLast="0" w:name="_hm1ore89wzlr" w:id="5"/>
      <w:bookmarkEnd w:id="5"/>
      <w:r w:rsidDel="00000000" w:rsidR="00000000" w:rsidRPr="00000000">
        <w:rPr>
          <w:rtl w:val="0"/>
        </w:rPr>
        <w:t xml:space="preserve">Clientes MCP</w:t>
      </w:r>
    </w:p>
    <w:p w:rsidR="00000000" w:rsidDel="00000000" w:rsidP="00000000" w:rsidRDefault="00000000" w:rsidRPr="00000000" w14:paraId="00000012">
      <w:pPr>
        <w:rPr/>
      </w:pPr>
      <w:r w:rsidDel="00000000" w:rsidR="00000000" w:rsidRPr="00000000">
        <w:rPr>
          <w:rtl w:val="0"/>
        </w:rPr>
        <w:t xml:space="preserve">Representan el entorno del agente (como un IDE o un cockpit empresarial). El cliente consume el  </w:t>
      </w:r>
      <w:r w:rsidDel="00000000" w:rsidR="00000000" w:rsidRPr="00000000">
        <w:rPr>
          <w:b w:val="1"/>
          <w:bCs w:val="1"/>
          <w:rtl w:val="0"/>
        </w:rPr>
        <w:t xml:space="preserve">manifest</w:t>
      </w:r>
      <w:r w:rsidDel="00000000" w:rsidR="00000000" w:rsidRPr="00000000">
        <w:rPr>
          <w:rtl w:val="0"/>
        </w:rPr>
        <w:t xml:space="preserve">  y presenta las capacidades al modelo para que este decida, en tiempo de inferencia, qué herramienta es necesaria para cumplir el objetivo.Si el MCP conecta al agente con su mundo físico, el protocolo A2A es el que le permite hablar con sus semejantes.</w:t>
      </w:r>
    </w:p>
    <w:p w:rsidR="00000000" w:rsidDel="00000000" w:rsidP="00000000" w:rsidRDefault="00000000" w:rsidRPr="00000000" w14:paraId="00000013">
      <w:pPr>
        <w:pStyle w:val="Heading4"/>
        <w:rPr/>
      </w:pPr>
      <w:bookmarkStart w:colFirst="0" w:colLast="0" w:name="_adk8g26jp0c0" w:id="6"/>
      <w:bookmarkEnd w:id="6"/>
      <w:r w:rsidDel="00000000" w:rsidR="00000000" w:rsidRPr="00000000">
        <w:rPr>
          <w:rtl w:val="0"/>
        </w:rPr>
        <w:t xml:space="preserve">4. A2A (Agent-to-Agent): Orquestación y Delegación entre Pares</w:t>
      </w:r>
    </w:p>
    <w:p w:rsidR="00000000" w:rsidDel="00000000" w:rsidP="00000000" w:rsidRDefault="00000000" w:rsidRPr="00000000" w14:paraId="00000014">
      <w:pPr>
        <w:rPr/>
      </w:pPr>
      <w:r w:rsidDel="00000000" w:rsidR="00000000" w:rsidRPr="00000000">
        <w:rPr>
          <w:rtl w:val="0"/>
        </w:rPr>
        <w:t xml:space="preserve">El protocolo  </w:t>
      </w:r>
      <w:r w:rsidDel="00000000" w:rsidR="00000000" w:rsidRPr="00000000">
        <w:rPr>
          <w:b w:val="1"/>
          <w:bCs w:val="1"/>
          <w:rtl w:val="0"/>
        </w:rPr>
        <w:t xml:space="preserve">A2A</w:t>
      </w:r>
      <w:r w:rsidDel="00000000" w:rsidR="00000000" w:rsidRPr="00000000">
        <w:rPr>
          <w:rtl w:val="0"/>
        </w:rPr>
        <w:t xml:space="preserve"> , liderado por Google, introduce el concepto de "agentes como microservicios". Mientras MCP es vertical (agente-a-herramienta), A2A es horizontal (agente-a-agente). Sin embargo, debemos advertir que esta capa introduce la complejidad propia de los  </w:t>
      </w:r>
      <w:r w:rsidDel="00000000" w:rsidR="00000000" w:rsidRPr="00000000">
        <w:rPr>
          <w:b w:val="1"/>
          <w:bCs w:val="1"/>
          <w:rtl w:val="0"/>
        </w:rPr>
        <w:t xml:space="preserve">sistemas distribuidos</w:t>
      </w:r>
      <w:r w:rsidDel="00000000" w:rsidR="00000000" w:rsidRPr="00000000">
        <w:rPr>
          <w:rtl w:val="0"/>
        </w:rPr>
        <w:t xml:space="preserve"> : fallos en cascada, latencia de red y problemas de consistencia de estado.El corazón de A2A es la  </w:t>
      </w:r>
      <w:r w:rsidDel="00000000" w:rsidR="00000000" w:rsidRPr="00000000">
        <w:rPr>
          <w:b w:val="1"/>
          <w:bCs w:val="1"/>
          <w:rtl w:val="0"/>
        </w:rPr>
        <w:t xml:space="preserve">Agent Card</w:t>
      </w:r>
      <w:r w:rsidDel="00000000" w:rsidR="00000000" w:rsidRPr="00000000">
        <w:rPr>
          <w:rtl w:val="0"/>
        </w:rPr>
        <w:t xml:space="preserve">  (Tarjeta de Agente), un documento JSON que permite el descubrimiento dinámico sin necesidad de integraciones cableadas. Su modelo de seguridad se divide en 5 pilares:</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Identidad Declarada:</w:t>
      </w:r>
      <w:r w:rsidDel="00000000" w:rsidR="00000000" w:rsidRPr="00000000">
        <w:rPr>
          <w:rtl w:val="0"/>
        </w:rPr>
        <w:t xml:space="preserve">  Las Tarjetas de Agente especifican los requisitos de autenticación de forma explícita.</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Validación Estándar:</w:t>
      </w:r>
      <w:r w:rsidDel="00000000" w:rsidR="00000000" w:rsidRPr="00000000">
        <w:rPr>
          <w:rtl w:val="0"/>
        </w:rPr>
        <w:t xml:space="preserve">  Uso riguroso de OAuth 2.0 y claves de API para la confianza mutua.</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Alcances Limitados (Scopes):</w:t>
      </w:r>
      <w:r w:rsidDel="00000000" w:rsidR="00000000" w:rsidRPr="00000000">
        <w:rPr>
          <w:rtl w:val="0"/>
        </w:rPr>
        <w:t xml:space="preserve">  Restricción granular de qué acciones puede solicitar un agente externo.</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Auditoría de Delegación:</w:t>
      </w:r>
      <w:r w:rsidDel="00000000" w:rsidR="00000000" w:rsidRPr="00000000">
        <w:rPr>
          <w:rtl w:val="0"/>
        </w:rPr>
        <w:t xml:space="preserve">  Registro inmutable de la cadena de mando entre agentes.</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Ganchos de Intervención Humana:</w:t>
      </w:r>
      <w:r w:rsidDel="00000000" w:rsidR="00000000" w:rsidRPr="00000000">
        <w:rPr>
          <w:rtl w:val="0"/>
        </w:rPr>
        <w:t xml:space="preserve">  Puntos de control obligatorios para transacciones de alto riesgo.El  </w:t>
      </w:r>
      <w:r w:rsidDel="00000000" w:rsidR="00000000" w:rsidRPr="00000000">
        <w:rPr>
          <w:b w:val="1"/>
          <w:bCs w:val="1"/>
          <w:rtl w:val="0"/>
        </w:rPr>
        <w:t xml:space="preserve">Task Model</w:t>
      </w:r>
      <w:r w:rsidDel="00000000" w:rsidR="00000000" w:rsidRPr="00000000">
        <w:rPr>
          <w:rtl w:val="0"/>
        </w:rPr>
        <w:t xml:space="preserve">  de A2A gestiona el ciclo de vida de la delegación, permitiendo que un agente "orquestador" monitorice el progreso de "especialistas" de forma asíncrona mediante estados de tarea estructurados.Cuando la colaboración entre agentes implica intercambio de valor, entramos al dominio de los protocolos de comercio.</w:t>
      </w:r>
    </w:p>
    <w:p w:rsidR="00000000" w:rsidDel="00000000" w:rsidP="00000000" w:rsidRDefault="00000000" w:rsidRPr="00000000" w14:paraId="0000001A">
      <w:pPr>
        <w:pStyle w:val="Heading4"/>
        <w:rPr/>
      </w:pPr>
      <w:bookmarkStart w:colFirst="0" w:colLast="0" w:name="_2raviw8dghg" w:id="7"/>
      <w:bookmarkEnd w:id="7"/>
      <w:r w:rsidDel="00000000" w:rsidR="00000000" w:rsidRPr="00000000">
        <w:rPr>
          <w:rtl w:val="0"/>
        </w:rPr>
        <w:t xml:space="preserve">5. La Capa de Comercio: Diferenciando ACP y UCP</w:t>
      </w:r>
    </w:p>
    <w:p w:rsidR="00000000" w:rsidDel="00000000" w:rsidP="00000000" w:rsidRDefault="00000000" w:rsidRPr="00000000" w14:paraId="0000001B">
      <w:pPr>
        <w:rPr/>
      </w:pPr>
      <w:r w:rsidDel="00000000" w:rsidR="00000000" w:rsidRPr="00000000">
        <w:rPr>
          <w:rtl w:val="0"/>
        </w:rPr>
        <w:t xml:space="preserve">Para 2026, la distinción entre protocolos de comercio es vital para la estrategia de negocio. No se trata de qué tecnología es mejor, sino de qué ecosistema habitamos.| Característica | ACP (Agent Commerce Protocol) | UCP (Universal Commerce Protocol) || ------ | ------ | ------ || </w:t>
      </w:r>
      <w:r w:rsidDel="00000000" w:rsidR="00000000" w:rsidRPr="00000000">
        <w:rPr>
          <w:b w:val="1"/>
          <w:bCs w:val="1"/>
          <w:rtl w:val="0"/>
        </w:rPr>
        <w:t xml:space="preserve">Gobernanza</w:t>
      </w:r>
      <w:r w:rsidDel="00000000" w:rsidR="00000000" w:rsidRPr="00000000">
        <w:rPr>
          <w:rtl w:val="0"/>
        </w:rPr>
        <w:t xml:space="preserve"> | IBM / Linux Foundation (Neutral) | Google (Ecosistema Propietario) || </w:t>
      </w:r>
      <w:r w:rsidDel="00000000" w:rsidR="00000000" w:rsidRPr="00000000">
        <w:rPr>
          <w:b w:val="1"/>
          <w:bCs w:val="1"/>
          <w:rtl w:val="0"/>
        </w:rPr>
        <w:t xml:space="preserve">Ventaja Competitiva</w:t>
      </w:r>
      <w:r w:rsidDel="00000000" w:rsidR="00000000" w:rsidRPr="00000000">
        <w:rPr>
          <w:rtl w:val="0"/>
        </w:rPr>
        <w:t xml:space="preserve"> | Independencia de proveedor y transparencia en adquisiciones B2B. | Acceso al  </w:t>
      </w:r>
      <w:r w:rsidDel="00000000" w:rsidR="00000000" w:rsidRPr="00000000">
        <w:rPr>
          <w:i w:val="1"/>
          <w:iCs w:val="1"/>
          <w:rtl w:val="0"/>
        </w:rPr>
        <w:t xml:space="preserve">Knowledge Graph</w:t>
      </w:r>
      <w:r w:rsidDel="00000000" w:rsidR="00000000" w:rsidRPr="00000000">
        <w:rPr>
          <w:rtl w:val="0"/>
        </w:rPr>
        <w:t xml:space="preserve">  de Google (precios reales, reseñas, stock). || </w:t>
      </w:r>
      <w:r w:rsidDel="00000000" w:rsidR="00000000" w:rsidRPr="00000000">
        <w:rPr>
          <w:b w:val="1"/>
          <w:bCs w:val="1"/>
          <w:rtl w:val="0"/>
        </w:rPr>
        <w:t xml:space="preserve">Caso de Uso Ideal</w:t>
      </w:r>
      <w:r w:rsidDel="00000000" w:rsidR="00000000" w:rsidRPr="00000000">
        <w:rPr>
          <w:rtl w:val="0"/>
        </w:rPr>
        <w:t xml:space="preserve"> | Compras corporativas y licitaciones automatizadas multisectoriales. | Transacciones nativas en Google Shopping y Merchant Center. |</w:t>
      </w:r>
    </w:p>
    <w:p w:rsidR="00000000" w:rsidDel="00000000" w:rsidP="00000000" w:rsidRDefault="00000000" w:rsidRPr="00000000" w14:paraId="0000001C">
      <w:pPr>
        <w:pStyle w:val="Heading5"/>
        <w:rPr/>
      </w:pPr>
      <w:bookmarkStart w:colFirst="0" w:colLast="0" w:name="_jd405indhssx" w:id="8"/>
      <w:bookmarkEnd w:id="8"/>
      <w:r w:rsidDel="00000000" w:rsidR="00000000" w:rsidRPr="00000000">
        <w:rPr>
          <w:rtl w:val="0"/>
        </w:rPr>
        <w:t xml:space="preserve">El flujo de transacción en ACP</w:t>
      </w:r>
    </w:p>
    <w:p w:rsidR="00000000" w:rsidDel="00000000" w:rsidP="00000000" w:rsidRDefault="00000000" w:rsidRPr="00000000" w14:paraId="0000001D">
      <w:pPr>
        <w:rPr/>
      </w:pPr>
      <w:r w:rsidDel="00000000" w:rsidR="00000000" w:rsidRPr="00000000">
        <w:rPr>
          <w:rtl w:val="0"/>
        </w:rPr>
        <w:t xml:space="preserve">Para garantizar la estabilidad corporativa, ACP utiliza un vocabulario estructurado en 6 pasos que asegura la gobernanza del proceso:</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Descubrimiento:</w:t>
      </w:r>
      <w:r w:rsidDel="00000000" w:rsidR="00000000" w:rsidRPr="00000000">
        <w:rPr>
          <w:rtl w:val="0"/>
        </w:rPr>
        <w:t xml:space="preserve">  Localización de agentes de venta por capacidad técnica.</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RFQ (Request for Quote):</w:t>
      </w:r>
      <w:r w:rsidDel="00000000" w:rsidR="00000000" w:rsidRPr="00000000">
        <w:rPr>
          <w:rtl w:val="0"/>
        </w:rPr>
        <w:t xml:space="preserve">  Solicitud de cotización estructurada con parámetros definidos.</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Oferta:</w:t>
      </w:r>
      <w:r w:rsidDel="00000000" w:rsidR="00000000" w:rsidRPr="00000000">
        <w:rPr>
          <w:rtl w:val="0"/>
        </w:rPr>
        <w:t xml:space="preserve">  Respuesta vinculante con precio y validez temporal.</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Negociación:</w:t>
      </w:r>
      <w:r w:rsidDel="00000000" w:rsidR="00000000" w:rsidRPr="00000000">
        <w:rPr>
          <w:rtl w:val="0"/>
        </w:rPr>
        <w:t xml:space="preserve">  Intercambio de contraofertas bajo reglas de negocio predefinidas.</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Aceptación:</w:t>
      </w:r>
      <w:r w:rsidDel="00000000" w:rsidR="00000000" w:rsidRPr="00000000">
        <w:rPr>
          <w:rtl w:val="0"/>
        </w:rPr>
        <w:t xml:space="preserve">  Formalización del compromiso y disparo de pasarelas de pago.</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Confirmación:</w:t>
      </w:r>
      <w:r w:rsidDel="00000000" w:rsidR="00000000" w:rsidRPr="00000000">
        <w:rPr>
          <w:rtl w:val="0"/>
        </w:rPr>
        <w:t xml:space="preserve">  Emisión de ID de cumplimiento y cierre de la transacción.Entender los protocolos es solo la mitad del camino; la otra mitad es construir el sistema que los rodea: el "harness".</w:t>
      </w:r>
    </w:p>
    <w:p w:rsidR="00000000" w:rsidDel="00000000" w:rsidP="00000000" w:rsidRDefault="00000000" w:rsidRPr="00000000" w14:paraId="00000024">
      <w:pPr>
        <w:pStyle w:val="Heading4"/>
        <w:rPr/>
      </w:pPr>
      <w:bookmarkStart w:colFirst="0" w:colLast="0" w:name="_jyiwpeeiyy7o" w:id="9"/>
      <w:bookmarkEnd w:id="9"/>
      <w:r w:rsidDel="00000000" w:rsidR="00000000" w:rsidRPr="00000000">
        <w:rPr>
          <w:rtl w:val="0"/>
        </w:rPr>
        <w:t xml:space="preserve">6. Ingeniería de "Harness": Convirtiendo Modelos en Agentes</w:t>
      </w:r>
    </w:p>
    <w:p w:rsidR="00000000" w:rsidDel="00000000" w:rsidP="00000000" w:rsidRDefault="00000000" w:rsidRPr="00000000" w14:paraId="00000025">
      <w:pPr>
        <w:rPr/>
      </w:pPr>
      <w:r w:rsidDel="00000000" w:rsidR="00000000" w:rsidRPr="00000000">
        <w:rPr>
          <w:rtl w:val="0"/>
        </w:rPr>
        <w:t xml:space="preserve">Como arquitectos de currículo, enseñamos que un modelo por sí solo es inerte. La operatividad nace de la fórmula:  </w:t>
      </w:r>
      <w:r w:rsidDel="00000000" w:rsidR="00000000" w:rsidRPr="00000000">
        <w:rPr>
          <w:b w:val="1"/>
          <w:bCs w:val="1"/>
          <w:rtl w:val="0"/>
        </w:rPr>
        <w:t xml:space="preserve">Agente = Modelo + Harness</w:t>
      </w:r>
      <w:r w:rsidDel="00000000" w:rsidR="00000000" w:rsidRPr="00000000">
        <w:rPr>
          <w:rtl w:val="0"/>
        </w:rPr>
        <w:t xml:space="preserve"> . El "harness" (arnés) es todo el código y andamiaje que rodea a la inteligencia para hacerla útil.</w:t>
      </w:r>
      <w:r w:rsidDel="00000000" w:rsidR="00000000" w:rsidRPr="00000000">
        <w:rPr>
          <w:b w:val="1"/>
          <w:bCs w:val="1"/>
          <w:rtl w:val="0"/>
        </w:rPr>
        <w:t xml:space="preserve">Sandboxes (Cajas de Arena)</w:t>
      </w:r>
      <w:r w:rsidDel="00000000" w:rsidR="00000000" w:rsidRPr="00000000">
        <w:rPr>
          <w:rtl w:val="0"/>
        </w:rPr>
        <w:t xml:space="preserve"> : Entornos de ejecución aislados donde el agente puede probar código de forma segura antes de impactar en producción.  </w:t>
      </w:r>
      <w:r w:rsidDel="00000000" w:rsidR="00000000" w:rsidRPr="00000000">
        <w:rPr>
          <w:b w:val="1"/>
          <w:bCs w:val="1"/>
          <w:rtl w:val="0"/>
        </w:rPr>
        <w:t xml:space="preserve">Gestión de Contexto (Compaction)</w:t>
      </w:r>
      <w:r w:rsidDel="00000000" w:rsidR="00000000" w:rsidRPr="00000000">
        <w:rPr>
          <w:rtl w:val="0"/>
        </w:rPr>
        <w:t xml:space="preserve"> : Mecanismos para resumir u offlinear datos antiguos, combatiendo el  </w:t>
      </w:r>
      <w:r w:rsidDel="00000000" w:rsidR="00000000" w:rsidRPr="00000000">
        <w:rPr>
          <w:b w:val="1"/>
          <w:bCs w:val="1"/>
          <w:rtl w:val="0"/>
        </w:rPr>
        <w:t xml:space="preserve">Context Rot</w:t>
      </w:r>
      <w:r w:rsidDel="00000000" w:rsidR="00000000" w:rsidRPr="00000000">
        <w:rPr>
          <w:rtl w:val="0"/>
        </w:rPr>
        <w:t xml:space="preserve">  (degradación del razonamiento cuando el contexto se satura).  </w:t>
      </w:r>
      <w:r w:rsidDel="00000000" w:rsidR="00000000" w:rsidRPr="00000000">
        <w:rPr>
          <w:b w:val="1"/>
          <w:bCs w:val="1"/>
          <w:rtl w:val="0"/>
        </w:rPr>
        <w:t xml:space="preserve">Skills (Habilidades)</w:t>
      </w:r>
      <w:r w:rsidDel="00000000" w:rsidR="00000000" w:rsidRPr="00000000">
        <w:rPr>
          <w:rtl w:val="0"/>
        </w:rPr>
        <w:t xml:space="preserve"> : Primitivas de "divulgación progresiva" que evitan abrumar al modelo cargando solo las herramientas necesarias para la fase actual de la tarea.  </w:t>
      </w:r>
      <w:r w:rsidDel="00000000" w:rsidR="00000000" w:rsidRPr="00000000">
        <w:rPr>
          <w:b w:val="1"/>
          <w:bCs w:val="1"/>
          <w:rtl w:val="0"/>
        </w:rPr>
        <w:t xml:space="preserve">Memoria Persistente</w:t>
      </w:r>
      <w:r w:rsidDel="00000000" w:rsidR="00000000" w:rsidRPr="00000000">
        <w:rPr>
          <w:rtl w:val="0"/>
        </w:rPr>
        <w:t xml:space="preserve"> : Almacenamiento de lecciones aprendidas y estados interconectados que sobreviven al reinicio de una sesión.El motor de este sistema es el ciclo  </w:t>
      </w:r>
      <w:r w:rsidDel="00000000" w:rsidR="00000000" w:rsidRPr="00000000">
        <w:rPr>
          <w:b w:val="1"/>
          <w:bCs w:val="1"/>
          <w:rtl w:val="0"/>
        </w:rPr>
        <w:t xml:space="preserve">Planear-Actuar-Observar</w:t>
      </w:r>
      <w:r w:rsidDel="00000000" w:rsidR="00000000" w:rsidRPr="00000000">
        <w:rPr>
          <w:rtl w:val="0"/>
        </w:rPr>
        <w:t xml:space="preserve"> . En la fase de  </w:t>
      </w:r>
      <w:r w:rsidDel="00000000" w:rsidR="00000000" w:rsidRPr="00000000">
        <w:rPr>
          <w:b w:val="1"/>
          <w:bCs w:val="1"/>
          <w:rtl w:val="0"/>
        </w:rPr>
        <w:t xml:space="preserve">Plan</w:t>
      </w:r>
      <w:r w:rsidDel="00000000" w:rsidR="00000000" w:rsidRPr="00000000">
        <w:rPr>
          <w:rtl w:val="0"/>
        </w:rPr>
        <w:t xml:space="preserve"> , el modelo descompone el objetivo; en la de  </w:t>
      </w:r>
      <w:r w:rsidDel="00000000" w:rsidR="00000000" w:rsidRPr="00000000">
        <w:rPr>
          <w:b w:val="1"/>
          <w:bCs w:val="1"/>
          <w:rtl w:val="0"/>
        </w:rPr>
        <w:t xml:space="preserve">Actuar</w:t>
      </w:r>
      <w:r w:rsidDel="00000000" w:rsidR="00000000" w:rsidRPr="00000000">
        <w:rPr>
          <w:rtl w:val="0"/>
        </w:rPr>
        <w:t xml:space="preserve"> , invoca el harness (vía MCP/A2A); y en la de  </w:t>
      </w:r>
      <w:r w:rsidDel="00000000" w:rsidR="00000000" w:rsidRPr="00000000">
        <w:rPr>
          <w:b w:val="1"/>
          <w:bCs w:val="1"/>
          <w:rtl w:val="0"/>
        </w:rPr>
        <w:t xml:space="preserve">Observar</w:t>
      </w:r>
      <w:r w:rsidDel="00000000" w:rsidR="00000000" w:rsidRPr="00000000">
        <w:rPr>
          <w:rtl w:val="0"/>
        </w:rPr>
        <w:t xml:space="preserve"> , el harness devuelve el resultado del mundo real para que el modelo reinicie su razonamiento.Finalmente, veamos cómo un arquitecto decide qué piezas utilizar según el desafío que enfrenta.</w:t>
      </w:r>
    </w:p>
    <w:p w:rsidR="00000000" w:rsidDel="00000000" w:rsidP="00000000" w:rsidRDefault="00000000" w:rsidRPr="00000000" w14:paraId="00000026">
      <w:pPr>
        <w:pStyle w:val="Heading4"/>
        <w:rPr/>
      </w:pPr>
      <w:bookmarkStart w:colFirst="0" w:colLast="0" w:name="_yorrgefu7xfz" w:id="10"/>
      <w:bookmarkEnd w:id="10"/>
      <w:r w:rsidDel="00000000" w:rsidR="00000000" w:rsidRPr="00000000">
        <w:rPr>
          <w:rtl w:val="0"/>
        </w:rPr>
        <w:t xml:space="preserve">7. Matriz de Decisión y Secuencia de Implementación</w:t>
      </w:r>
    </w:p>
    <w:p w:rsidR="00000000" w:rsidDel="00000000" w:rsidP="00000000" w:rsidRDefault="00000000" w:rsidRPr="00000000" w14:paraId="00000027">
      <w:pPr>
        <w:pStyle w:val="Heading5"/>
        <w:rPr/>
      </w:pPr>
      <w:bookmarkStart w:colFirst="0" w:colLast="0" w:name="_sbkz7ulqn1bb" w:id="11"/>
      <w:bookmarkEnd w:id="11"/>
      <w:r w:rsidDel="00000000" w:rsidR="00000000" w:rsidRPr="00000000">
        <w:rPr>
          <w:rtl w:val="0"/>
        </w:rPr>
        <w:t xml:space="preserve">Escenario 1: Agente único de productividad</w:t>
      </w:r>
    </w:p>
    <w:p w:rsidR="00000000" w:rsidDel="00000000" w:rsidP="00000000" w:rsidRDefault="00000000" w:rsidRPr="00000000" w14:paraId="00000028">
      <w:pPr>
        <w:numPr>
          <w:ilvl w:val="0"/>
          <w:numId w:val="6"/>
        </w:numPr>
        <w:ind w:left="720" w:hanging="360"/>
        <w:rPr>
          <w:u w:val="none"/>
        </w:rPr>
      </w:pPr>
      <w:r w:rsidDel="00000000" w:rsidR="00000000" w:rsidRPr="00000000">
        <w:rPr>
          <w:b w:val="1"/>
          <w:bCs w:val="1"/>
          <w:rtl w:val="0"/>
        </w:rPr>
        <w:t xml:space="preserve">Objetivo:</w:t>
      </w:r>
      <w:r w:rsidDel="00000000" w:rsidR="00000000" w:rsidRPr="00000000">
        <w:rPr>
          <w:rtl w:val="0"/>
        </w:rPr>
        <w:t xml:space="preserve">  Un asistente de análisis de datos que consulta bases de datos internas.</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Arquitectura:</w:t>
      </w:r>
      <w:r w:rsidDel="00000000" w:rsidR="00000000" w:rsidRPr="00000000">
        <w:rPr>
          <w:rtl w:val="0"/>
        </w:rPr>
        <w:t xml:space="preserve">   </w:t>
      </w:r>
      <w:r w:rsidDel="00000000" w:rsidR="00000000" w:rsidRPr="00000000">
        <w:rPr>
          <w:b w:val="1"/>
          <w:bCs w:val="1"/>
          <w:rtl w:val="0"/>
        </w:rPr>
        <w:t xml:space="preserve">MCP Únicamente</w:t>
      </w:r>
      <w:r w:rsidDel="00000000" w:rsidR="00000000" w:rsidRPr="00000000">
        <w:rPr>
          <w:rtl w:val="0"/>
        </w:rPr>
        <w:t xml:space="preserve"> . Es la base necesaria para la conexión a datos; no requiere coordinación de terceros.</w:t>
      </w:r>
    </w:p>
    <w:p w:rsidR="00000000" w:rsidDel="00000000" w:rsidP="00000000" w:rsidRDefault="00000000" w:rsidRPr="00000000" w14:paraId="0000002A">
      <w:pPr>
        <w:pStyle w:val="Heading5"/>
        <w:rPr/>
      </w:pPr>
      <w:bookmarkStart w:colFirst="0" w:colLast="0" w:name="_sjc9e1b5x3hp" w:id="12"/>
      <w:bookmarkEnd w:id="12"/>
      <w:r w:rsidDel="00000000" w:rsidR="00000000" w:rsidRPr="00000000">
        <w:rPr>
          <w:rtl w:val="0"/>
        </w:rPr>
        <w:t xml:space="preserve">Escenario 2: Ecosistema de micro-agentes especializados</w:t>
      </w:r>
    </w:p>
    <w:p w:rsidR="00000000" w:rsidDel="00000000" w:rsidP="00000000" w:rsidRDefault="00000000" w:rsidRPr="00000000" w14:paraId="0000002B">
      <w:pPr>
        <w:numPr>
          <w:ilvl w:val="0"/>
          <w:numId w:val="7"/>
        </w:numPr>
        <w:ind w:left="720" w:hanging="360"/>
        <w:rPr>
          <w:u w:val="none"/>
        </w:rPr>
      </w:pPr>
      <w:r w:rsidDel="00000000" w:rsidR="00000000" w:rsidRPr="00000000">
        <w:rPr>
          <w:b w:val="1"/>
          <w:bCs w:val="1"/>
          <w:rtl w:val="0"/>
        </w:rPr>
        <w:t xml:space="preserve">Objetivo:</w:t>
      </w:r>
      <w:r w:rsidDel="00000000" w:rsidR="00000000" w:rsidRPr="00000000">
        <w:rPr>
          <w:rtl w:val="0"/>
        </w:rPr>
        <w:t xml:space="preserve">  Un flujo donde un agente "Investigador" delega a un agente "Redactor".</w:t>
      </w:r>
    </w:p>
    <w:p w:rsidR="00000000" w:rsidDel="00000000" w:rsidP="00000000" w:rsidRDefault="00000000" w:rsidRPr="00000000" w14:paraId="0000002C">
      <w:pPr>
        <w:numPr>
          <w:ilvl w:val="0"/>
          <w:numId w:val="7"/>
        </w:numPr>
        <w:ind w:left="720" w:hanging="360"/>
        <w:rPr>
          <w:u w:val="none"/>
        </w:rPr>
      </w:pPr>
      <w:r w:rsidDel="00000000" w:rsidR="00000000" w:rsidRPr="00000000">
        <w:rPr>
          <w:b w:val="1"/>
          <w:bCs w:val="1"/>
          <w:rtl w:val="0"/>
        </w:rPr>
        <w:t xml:space="preserve">Arquitectura:</w:t>
      </w:r>
      <w:r w:rsidDel="00000000" w:rsidR="00000000" w:rsidRPr="00000000">
        <w:rPr>
          <w:rtl w:val="0"/>
        </w:rPr>
        <w:t xml:space="preserve">   </w:t>
      </w:r>
      <w:r w:rsidDel="00000000" w:rsidR="00000000" w:rsidRPr="00000000">
        <w:rPr>
          <w:b w:val="1"/>
          <w:bCs w:val="1"/>
          <w:rtl w:val="0"/>
        </w:rPr>
        <w:t xml:space="preserve">MCP + A2A</w:t>
      </w:r>
      <w:r w:rsidDel="00000000" w:rsidR="00000000" w:rsidRPr="00000000">
        <w:rPr>
          <w:rtl w:val="0"/>
        </w:rPr>
        <w:t xml:space="preserve"> . Cada agente gestiona sus herramientas con MCP y se coordinan vía A2A.</w:t>
      </w:r>
    </w:p>
    <w:p w:rsidR="00000000" w:rsidDel="00000000" w:rsidP="00000000" w:rsidRDefault="00000000" w:rsidRPr="00000000" w14:paraId="0000002D">
      <w:pPr>
        <w:pStyle w:val="Heading5"/>
        <w:rPr/>
      </w:pPr>
      <w:bookmarkStart w:colFirst="0" w:colLast="0" w:name="_co8spu1q8azm" w:id="13"/>
      <w:bookmarkEnd w:id="13"/>
      <w:r w:rsidDel="00000000" w:rsidR="00000000" w:rsidRPr="00000000">
        <w:rPr>
          <w:rtl w:val="0"/>
        </w:rPr>
        <w:t xml:space="preserve">Escenario 3: Compras autónomas multisectoriales (B2B)</w:t>
      </w:r>
    </w:p>
    <w:p w:rsidR="00000000" w:rsidDel="00000000" w:rsidP="00000000" w:rsidRDefault="00000000" w:rsidRPr="00000000" w14:paraId="0000002E">
      <w:pPr>
        <w:numPr>
          <w:ilvl w:val="0"/>
          <w:numId w:val="8"/>
        </w:numPr>
        <w:ind w:left="720" w:hanging="360"/>
        <w:rPr>
          <w:u w:val="none"/>
        </w:rPr>
      </w:pPr>
      <w:r w:rsidDel="00000000" w:rsidR="00000000" w:rsidRPr="00000000">
        <w:rPr>
          <w:b w:val="1"/>
          <w:bCs w:val="1"/>
          <w:rtl w:val="0"/>
        </w:rPr>
        <w:t xml:space="preserve">Objetivo:</w:t>
      </w:r>
      <w:r w:rsidDel="00000000" w:rsidR="00000000" w:rsidRPr="00000000">
        <w:rPr>
          <w:rtl w:val="0"/>
        </w:rPr>
        <w:t xml:space="preserve">  Un agente que busca repuestos industriales entre múltiples proveedores independientes.</w:t>
      </w:r>
    </w:p>
    <w:p w:rsidR="00000000" w:rsidDel="00000000" w:rsidP="00000000" w:rsidRDefault="00000000" w:rsidRPr="00000000" w14:paraId="0000002F">
      <w:pPr>
        <w:numPr>
          <w:ilvl w:val="0"/>
          <w:numId w:val="8"/>
        </w:numPr>
        <w:ind w:left="720" w:hanging="360"/>
        <w:rPr>
          <w:u w:val="none"/>
        </w:rPr>
      </w:pPr>
      <w:r w:rsidDel="00000000" w:rsidR="00000000" w:rsidRPr="00000000">
        <w:rPr>
          <w:b w:val="1"/>
          <w:bCs w:val="1"/>
          <w:rtl w:val="0"/>
        </w:rPr>
        <w:t xml:space="preserve">Arquitectura:</w:t>
      </w:r>
      <w:r w:rsidDel="00000000" w:rsidR="00000000" w:rsidRPr="00000000">
        <w:rPr>
          <w:rtl w:val="0"/>
        </w:rPr>
        <w:t xml:space="preserve">   </w:t>
      </w:r>
      <w:r w:rsidDel="00000000" w:rsidR="00000000" w:rsidRPr="00000000">
        <w:rPr>
          <w:b w:val="1"/>
          <w:bCs w:val="1"/>
          <w:rtl w:val="0"/>
        </w:rPr>
        <w:t xml:space="preserve">MCP + A2A + ACP</w:t>
      </w:r>
      <w:r w:rsidDel="00000000" w:rsidR="00000000" w:rsidRPr="00000000">
        <w:rPr>
          <w:rtl w:val="0"/>
        </w:rPr>
        <w:t xml:space="preserve"> . Se utiliza ACP por su naturaleza neutral y su vocabulario de negociación corporativa.</w:t>
      </w:r>
    </w:p>
    <w:p w:rsidR="00000000" w:rsidDel="00000000" w:rsidP="00000000" w:rsidRDefault="00000000" w:rsidRPr="00000000" w14:paraId="00000030">
      <w:pPr>
        <w:pStyle w:val="Heading5"/>
        <w:rPr/>
      </w:pPr>
      <w:bookmarkStart w:colFirst="0" w:colLast="0" w:name="_sc2fvsh34i8a" w:id="14"/>
      <w:bookmarkEnd w:id="14"/>
      <w:r w:rsidDel="00000000" w:rsidR="00000000" w:rsidRPr="00000000">
        <w:rPr>
          <w:rtl w:val="0"/>
        </w:rPr>
        <w:t xml:space="preserve">Escenario 4: Compras personalizadas en entorno Google</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Objetivo:</w:t>
      </w:r>
      <w:r w:rsidDel="00000000" w:rsidR="00000000" w:rsidRPr="00000000">
        <w:rPr>
          <w:rtl w:val="0"/>
        </w:rPr>
        <w:t xml:space="preserve">  Un agente de compras para consumidores finales que utiliza Google Shopping.</w:t>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Arquitectura:</w:t>
      </w:r>
      <w:r w:rsidDel="00000000" w:rsidR="00000000" w:rsidRPr="00000000">
        <w:rPr>
          <w:rtl w:val="0"/>
        </w:rPr>
        <w:t xml:space="preserve">   </w:t>
      </w:r>
      <w:r w:rsidDel="00000000" w:rsidR="00000000" w:rsidRPr="00000000">
        <w:rPr>
          <w:b w:val="1"/>
          <w:bCs w:val="1"/>
          <w:rtl w:val="0"/>
        </w:rPr>
        <w:t xml:space="preserve">MCP + A2A + UCP</w:t>
      </w:r>
      <w:r w:rsidDel="00000000" w:rsidR="00000000" w:rsidRPr="00000000">
        <w:rPr>
          <w:rtl w:val="0"/>
        </w:rPr>
        <w:t xml:space="preserve"> . Se elige UCP para aprovechar la integración nativa con el grafo de productos y el Merchant Center de Google.Esta estructura de estándares no solo simplifica el desarrollo, sino que asegura que tus agentes estén listos para el futuro.</w:t>
      </w:r>
    </w:p>
    <w:p w:rsidR="00000000" w:rsidDel="00000000" w:rsidP="00000000" w:rsidRDefault="00000000" w:rsidRPr="00000000" w14:paraId="00000033">
      <w:pPr>
        <w:pStyle w:val="Heading4"/>
        <w:rPr/>
      </w:pPr>
      <w:bookmarkStart w:colFirst="0" w:colLast="0" w:name="_gjaud671fcu8" w:id="15"/>
      <w:bookmarkEnd w:id="15"/>
      <w:r w:rsidDel="00000000" w:rsidR="00000000" w:rsidRPr="00000000">
        <w:rPr>
          <w:rtl w:val="0"/>
        </w:rPr>
        <w:t xml:space="preserve">8. Conclusión: El Camino hacia la Producción</w:t>
      </w:r>
    </w:p>
    <w:p w:rsidR="00000000" w:rsidDel="00000000" w:rsidP="00000000" w:rsidRDefault="00000000" w:rsidRPr="00000000" w14:paraId="00000034">
      <w:pPr>
        <w:rPr/>
      </w:pPr>
      <w:r w:rsidDel="00000000" w:rsidR="00000000" w:rsidRPr="00000000">
        <w:rPr>
          <w:rtl w:val="0"/>
        </w:rPr>
        <w:t xml:space="preserve">A pesar de contar con protocolos robustos, la industria enfrenta una brecha crítica: mientras el  </w:t>
      </w:r>
      <w:r w:rsidDel="00000000" w:rsidR="00000000" w:rsidRPr="00000000">
        <w:rPr>
          <w:b w:val="1"/>
          <w:bCs w:val="1"/>
          <w:rtl w:val="0"/>
        </w:rPr>
        <w:t xml:space="preserve">79%</w:t>
      </w:r>
      <w:r w:rsidDel="00000000" w:rsidR="00000000" w:rsidRPr="00000000">
        <w:rPr>
          <w:rtl w:val="0"/>
        </w:rPr>
        <w:t xml:space="preserve">  de las empresas experimentan con agentes, solo el  </w:t>
      </w:r>
      <w:r w:rsidDel="00000000" w:rsidR="00000000" w:rsidRPr="00000000">
        <w:rPr>
          <w:b w:val="1"/>
          <w:bCs w:val="1"/>
          <w:rtl w:val="0"/>
        </w:rPr>
        <w:t xml:space="preserve">11%</w:t>
      </w:r>
      <w:r w:rsidDel="00000000" w:rsidR="00000000" w:rsidRPr="00000000">
        <w:rPr>
          <w:rtl w:val="0"/>
        </w:rPr>
        <w:t xml:space="preserve">  ha logrado llegar a producción real. Este vacío del  </w:t>
      </w:r>
      <w:r w:rsidDel="00000000" w:rsidR="00000000" w:rsidRPr="00000000">
        <w:rPr>
          <w:b w:val="1"/>
          <w:bCs w:val="1"/>
          <w:rtl w:val="0"/>
        </w:rPr>
        <w:t xml:space="preserve">68%</w:t>
      </w:r>
      <w:r w:rsidDel="00000000" w:rsidR="00000000" w:rsidRPr="00000000">
        <w:rPr>
          <w:rtl w:val="0"/>
        </w:rPr>
        <w:t xml:space="preserve">  no se cierra con modelos más grandes, sino con una infraestructura que priorice la  </w:t>
      </w:r>
      <w:r w:rsidDel="00000000" w:rsidR="00000000" w:rsidRPr="00000000">
        <w:rPr>
          <w:b w:val="1"/>
          <w:bCs w:val="1"/>
          <w:rtl w:val="0"/>
        </w:rPr>
        <w:t xml:space="preserve">gobernanza</w:t>
      </w:r>
      <w:r w:rsidDel="00000000" w:rsidR="00000000" w:rsidRPr="00000000">
        <w:rPr>
          <w:rtl w:val="0"/>
        </w:rPr>
        <w:t xml:space="preserve"> , la seguridad y la evaluación humana constante.El futuro de la inteligencia no reside solo en su capacidad de razonar, sino en su capacidad de interoperar. Nuestra misión como diseñadores de sistemas es asegurar que, aunque la tecnología sea autónoma, los estándares sigan siendo un reflejo de la excelencia y el control humano. El éxito en 2026 no pertenece a quien construye el modelo más potente, sino a quien diseña el ecosistema más conectado.</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