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3j5zkazchye" w:id="0"/>
      <w:bookmarkEnd w:id="0"/>
      <w:r w:rsidDel="00000000" w:rsidR="00000000" w:rsidRPr="00000000">
        <w:rPr>
          <w:rtl w:val="0"/>
        </w:rPr>
        <w:t xml:space="preserve">Libro Blanco: Escalando la IA Agéntica en la Empresa (Perspectiva Estratégica 2026)</w:t>
      </w:r>
    </w:p>
    <w:p w:rsidR="00000000" w:rsidDel="00000000" w:rsidP="00000000" w:rsidRDefault="00000000" w:rsidRPr="00000000" w14:paraId="00000002">
      <w:pPr>
        <w:pStyle w:val="Heading4"/>
        <w:rPr/>
      </w:pPr>
      <w:bookmarkStart w:colFirst="0" w:colLast="0" w:name="_emj914z23914" w:id="1"/>
      <w:bookmarkEnd w:id="1"/>
      <w:r w:rsidDel="00000000" w:rsidR="00000000" w:rsidRPr="00000000">
        <w:rPr>
          <w:rtl w:val="0"/>
        </w:rPr>
        <w:t xml:space="preserve">1. El Estado de la IA Agéntica: El Abismo entre Experimentación y Producción</w:t>
      </w:r>
    </w:p>
    <w:p w:rsidR="00000000" w:rsidDel="00000000" w:rsidP="00000000" w:rsidRDefault="00000000" w:rsidRPr="00000000" w14:paraId="00000003">
      <w:pPr>
        <w:rPr/>
      </w:pPr>
      <w:r w:rsidDel="00000000" w:rsidR="00000000" w:rsidRPr="00000000">
        <w:rPr>
          <w:rtl w:val="0"/>
        </w:rPr>
        <w:t xml:space="preserve">Al iniciar 2026, la Inteligencia Artificial ha dejado de ser una interfaz de conversación para convertirse en una arquitectura de ejecución. El mercado de IA agéntica ha escalado de los 7.600 millones de dólares en 2025 a una proyección sólida de  </w:t>
      </w:r>
      <w:r w:rsidDel="00000000" w:rsidR="00000000" w:rsidRPr="00000000">
        <w:rPr>
          <w:b w:val="1"/>
          <w:bCs w:val="1"/>
          <w:rtl w:val="0"/>
        </w:rPr>
        <w:t xml:space="preserve">10.800 millones de dólares para finales de este año</w:t>
      </w:r>
      <w:r w:rsidDel="00000000" w:rsidR="00000000" w:rsidRPr="00000000">
        <w:rPr>
          <w:rtl w:val="0"/>
        </w:rPr>
        <w:t xml:space="preserve"> , superando las tasas de adopción de las tecnologías de nube en sus etapas iniciales. Sin embargo, bajo este crecimiento financiero subyace una crisis de implementación: el  </w:t>
      </w:r>
      <w:r w:rsidDel="00000000" w:rsidR="00000000" w:rsidRPr="00000000">
        <w:rPr>
          <w:b w:val="1"/>
          <w:bCs w:val="1"/>
          <w:rtl w:val="0"/>
        </w:rPr>
        <w:t xml:space="preserve">79% de las empresas</w:t>
      </w:r>
      <w:r w:rsidDel="00000000" w:rsidR="00000000" w:rsidRPr="00000000">
        <w:rPr>
          <w:rtl w:val="0"/>
        </w:rPr>
        <w:t xml:space="preserve">  declara haber adoptado agentes de IA, pero solo el  </w:t>
      </w:r>
      <w:r w:rsidDel="00000000" w:rsidR="00000000" w:rsidRPr="00000000">
        <w:rPr>
          <w:b w:val="1"/>
          <w:bCs w:val="1"/>
          <w:rtl w:val="0"/>
        </w:rPr>
        <w:t xml:space="preserve">11% opera realmente en entornos de producción</w:t>
      </w:r>
      <w:r w:rsidDel="00000000" w:rsidR="00000000" w:rsidRPr="00000000">
        <w:rPr>
          <w:rtl w:val="0"/>
        </w:rPr>
        <w:t xml:space="preserve"> .Esta brecha de 68 puntos porcentuales define el "abismo de implementación". Las organizaciones enfrentan dificultades críticas al conectar modelos con silos de datos vivos, gestionar límites de seguridad no lineales e integrar agentes en infraestructuras legadas que no fueron diseñadas para la autonomía. A pesar de esto, la inacción no es una opción; Gartner predice que para finales de 2026, el  </w:t>
      </w:r>
      <w:r w:rsidDel="00000000" w:rsidR="00000000" w:rsidRPr="00000000">
        <w:rPr>
          <w:b w:val="1"/>
          <w:bCs w:val="1"/>
          <w:rtl w:val="0"/>
        </w:rPr>
        <w:t xml:space="preserve">40% de las aplicaciones empresariales incorporarán agentes de IA específicos para tareas</w:t>
      </w:r>
      <w:r w:rsidDel="00000000" w:rsidR="00000000" w:rsidRPr="00000000">
        <w:rPr>
          <w:rtl w:val="0"/>
        </w:rPr>
        <w:t xml:space="preserve"> , frente a menos del 5% observado en 2025.</w:t>
      </w:r>
    </w:p>
    <w:p w:rsidR="00000000" w:rsidDel="00000000" w:rsidP="00000000" w:rsidRDefault="00000000" w:rsidRPr="00000000" w14:paraId="00000004">
      <w:pPr>
        <w:pStyle w:val="Heading5"/>
        <w:rPr/>
      </w:pPr>
      <w:bookmarkStart w:colFirst="0" w:colLast="0" w:name="_kh0jrrs27apx" w:id="2"/>
      <w:bookmarkEnd w:id="2"/>
      <w:r w:rsidDel="00000000" w:rsidR="00000000" w:rsidRPr="00000000">
        <w:rPr>
          <w:rtl w:val="0"/>
        </w:rPr>
        <w:t xml:space="preserve">Diferenciación Estratégica y la Directiva de TI</w:t>
      </w:r>
    </w:p>
    <w:p w:rsidR="00000000" w:rsidDel="00000000" w:rsidP="00000000" w:rsidRDefault="00000000" w:rsidRPr="00000000" w14:paraId="00000005">
      <w:pPr>
        <w:rPr/>
      </w:pPr>
      <w:r w:rsidDel="00000000" w:rsidR="00000000" w:rsidRPr="00000000">
        <w:rPr>
          <w:rtl w:val="0"/>
        </w:rPr>
        <w:t xml:space="preserve">La directiva de TI debe  </w:t>
      </w:r>
      <w:r w:rsidDel="00000000" w:rsidR="00000000" w:rsidRPr="00000000">
        <w:rPr>
          <w:b w:val="1"/>
          <w:bCs w:val="1"/>
          <w:rtl w:val="0"/>
        </w:rPr>
        <w:t xml:space="preserve">rechazar de forma categórica el</w:t>
      </w:r>
      <w:r w:rsidDel="00000000" w:rsidR="00000000" w:rsidRPr="00000000">
        <w:rPr>
          <w:rtl w:val="0"/>
        </w:rPr>
        <w:t xml:space="preserve">  </w:t>
      </w:r>
      <w:r w:rsidDel="00000000" w:rsidR="00000000" w:rsidRPr="00000000">
        <w:rPr>
          <w:b w:val="1"/>
          <w:bCs w:val="1"/>
          <w:i w:val="1"/>
          <w:iCs w:val="1"/>
          <w:rtl w:val="0"/>
        </w:rPr>
        <w:t xml:space="preserve">agentwashing</w:t>
      </w:r>
      <w:r w:rsidDel="00000000" w:rsidR="00000000" w:rsidRPr="00000000">
        <w:rPr>
          <w:rtl w:val="0"/>
        </w:rPr>
        <w:t xml:space="preserve"> , fenómeno donde chatbots reactivos o automatizaciones lineales son etiquetados erróneamente como "agentes". La distinción técnica establecida por Gartner es fundamental: los  </w:t>
      </w:r>
      <w:r w:rsidDel="00000000" w:rsidR="00000000" w:rsidRPr="00000000">
        <w:rPr>
          <w:b w:val="1"/>
          <w:bCs w:val="1"/>
          <w:rtl w:val="0"/>
        </w:rPr>
        <w:t xml:space="preserve">Asistentes</w:t>
      </w:r>
      <w:r w:rsidDel="00000000" w:rsidR="00000000" w:rsidRPr="00000000">
        <w:rPr>
          <w:rtl w:val="0"/>
        </w:rPr>
        <w:t xml:space="preserve">  dependen de una dirección humana paso a paso, mientras que los  </w:t>
      </w:r>
      <w:r w:rsidDel="00000000" w:rsidR="00000000" w:rsidRPr="00000000">
        <w:rPr>
          <w:b w:val="1"/>
          <w:bCs w:val="1"/>
          <w:rtl w:val="0"/>
        </w:rPr>
        <w:t xml:space="preserve">Agentes</w:t>
      </w:r>
      <w:r w:rsidDel="00000000" w:rsidR="00000000" w:rsidRPr="00000000">
        <w:rPr>
          <w:rtl w:val="0"/>
        </w:rPr>
        <w:t xml:space="preserve">  poseen capacidades de planificación, uso autónomo de herramientas, razonamiento proactivo y actuación orientada a objetivos de largo horizonte. Cruzar el abismo hacia la producción exige una comprensión profunda de las tendencias macro que están madurando el ecosistema.</w:t>
      </w:r>
    </w:p>
    <w:p w:rsidR="00000000" w:rsidDel="00000000" w:rsidP="00000000" w:rsidRDefault="00000000" w:rsidRPr="00000000" w14:paraId="00000006">
      <w:pPr>
        <w:pStyle w:val="Heading4"/>
        <w:rPr/>
      </w:pPr>
      <w:bookmarkStart w:colFirst="0" w:colLast="0" w:name="_9wp5u3jv6w9w" w:id="3"/>
      <w:bookmarkEnd w:id="3"/>
      <w:r w:rsidDel="00000000" w:rsidR="00000000" w:rsidRPr="00000000">
        <w:rPr>
          <w:rtl w:val="0"/>
        </w:rPr>
        <w:t xml:space="preserve">2. Las Cinco Tendencias Dominantes para 2026</w:t>
      </w:r>
    </w:p>
    <w:p w:rsidR="00000000" w:rsidDel="00000000" w:rsidP="00000000" w:rsidRDefault="00000000" w:rsidRPr="00000000" w14:paraId="00000007">
      <w:pPr>
        <w:rPr/>
      </w:pPr>
      <w:r w:rsidDel="00000000" w:rsidR="00000000" w:rsidRPr="00000000">
        <w:rPr>
          <w:rtl w:val="0"/>
        </w:rPr>
        <w:t xml:space="preserve">La madurez tecnológica en 2026 no es solo una cuestión de "inteligencia" del modelo, sino de la infraestructura de soporte. Estas tendencias son indicadores clave para la justificación de presupuestos de TI en el actual ciclo fiscal.</w:t>
      </w:r>
    </w:p>
    <w:p w:rsidR="00000000" w:rsidDel="00000000" w:rsidP="00000000" w:rsidRDefault="00000000" w:rsidRPr="00000000" w14:paraId="00000008">
      <w:pPr>
        <w:pStyle w:val="Heading5"/>
        <w:rPr/>
      </w:pPr>
      <w:bookmarkStart w:colFirst="0" w:colLast="0" w:name="_ksre2nv6ak4z" w:id="4"/>
      <w:bookmarkEnd w:id="4"/>
      <w:r w:rsidDel="00000000" w:rsidR="00000000" w:rsidRPr="00000000">
        <w:rPr>
          <w:rtl w:val="0"/>
        </w:rPr>
        <w:t xml:space="preserve">Análisis de Tendencias Clave</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Orquestación Multi-Agente (Horizontal):</w:t>
      </w:r>
      <w:r w:rsidDel="00000000" w:rsidR="00000000" w:rsidRPr="00000000">
        <w:rPr>
          <w:rtl w:val="0"/>
        </w:rPr>
        <w:t xml:space="preserve">  La transición de agentes aislados a sistemas coordinados. Un agente "planificador" delega subtareas a especialistas, permitiendo la resolución de procesos complejos de extremo a extremo.</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Codificación Agéntica:</w:t>
      </w:r>
      <w:r w:rsidDel="00000000" w:rsidR="00000000" w:rsidRPr="00000000">
        <w:rPr>
          <w:rtl w:val="0"/>
        </w:rPr>
        <w:t xml:space="preserve">  Para 2028, se estima que el 75% de los desarrolladores utilizarán agentes que no solo generan código, sino que planifican, prueban e iteran de forma autónoma.</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Agentes Guardianes:</w:t>
      </w:r>
      <w:r w:rsidDel="00000000" w:rsidR="00000000" w:rsidRPr="00000000">
        <w:rPr>
          <w:rtl w:val="0"/>
        </w:rPr>
        <w:t xml:space="preserve">  El surgimiento de una capa de gobernanza activa. Ante la previsión de Gartner de que existirán  </w:t>
      </w:r>
      <w:r w:rsidDel="00000000" w:rsidR="00000000" w:rsidRPr="00000000">
        <w:rPr>
          <w:b w:val="1"/>
          <w:bCs w:val="1"/>
          <w:rtl w:val="0"/>
        </w:rPr>
        <w:t xml:space="preserve">más de 2.000 reclamaciones por "muerte por IA"</w:t>
      </w:r>
      <w:r w:rsidDel="00000000" w:rsidR="00000000" w:rsidRPr="00000000">
        <w:rPr>
          <w:rtl w:val="0"/>
        </w:rPr>
        <w:t xml:space="preserve">  (fallos de seguridad en sistemas autónomos) para finales de 2026, estos agentes supervisan a otros en tiempo real para evitar desviaciones éticas o alucinaciones.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Comercio Agéntico:</w:t>
      </w:r>
      <w:r w:rsidDel="00000000" w:rsidR="00000000" w:rsidRPr="00000000">
        <w:rPr>
          <w:rtl w:val="0"/>
        </w:rPr>
        <w:t xml:space="preserve">  Los agentes actúan como compradores y negociadores. Se proyecta que para 2028, el 20% de las interacciones en tiendas digitales serán gestionadas por agentes evaluando criterios de precio y disponibilidad.</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Democratización Low-Code:</w:t>
      </w:r>
      <w:r w:rsidDel="00000000" w:rsidR="00000000" w:rsidRPr="00000000">
        <w:rPr>
          <w:rtl w:val="0"/>
        </w:rPr>
        <w:t xml:space="preserve">  Plataformas visuales que permiten desplegar agentes en minutos. Sin embargo, esto requiere guardias de gobernanza centralizados para evitar la fragmentación de la "Shadow AI".</w:t>
      </w:r>
    </w:p>
    <w:p w:rsidR="00000000" w:rsidDel="00000000" w:rsidP="00000000" w:rsidRDefault="00000000" w:rsidRPr="00000000" w14:paraId="0000000E">
      <w:pPr>
        <w:pStyle w:val="Heading5"/>
        <w:rPr/>
      </w:pPr>
      <w:bookmarkStart w:colFirst="0" w:colLast="0" w:name="_m7jaifuc133o" w:id="5"/>
      <w:bookmarkEnd w:id="5"/>
      <w:r w:rsidDel="00000000" w:rsidR="00000000" w:rsidRPr="00000000">
        <w:rPr>
          <w:rtl w:val="0"/>
        </w:rPr>
        <w:t xml:space="preserve">Evaluación de Impacto (ROI Sectorial)</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Salud:</w:t>
      </w:r>
      <w:r w:rsidDel="00000000" w:rsidR="00000000" w:rsidRPr="00000000">
        <w:rPr>
          <w:rtl w:val="0"/>
        </w:rPr>
        <w:t xml:space="preserve">  AtlantiCare reporta que el uso de asistentes agénticos reduce el tiempo de documentación clínica en un 42%, liberando exactamente  </w:t>
      </w:r>
      <w:r w:rsidDel="00000000" w:rsidR="00000000" w:rsidRPr="00000000">
        <w:rPr>
          <w:b w:val="1"/>
          <w:bCs w:val="1"/>
          <w:rtl w:val="0"/>
        </w:rPr>
        <w:t xml:space="preserve">66 minutos diarios por médico</w:t>
      </w:r>
      <w:r w:rsidDel="00000000" w:rsidR="00000000" w:rsidRPr="00000000">
        <w:rPr>
          <w:rtl w:val="0"/>
        </w:rPr>
        <w:t xml:space="preserve"> .</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Operaciones Gubernamentales (IRS):</w:t>
      </w:r>
      <w:r w:rsidDel="00000000" w:rsidR="00000000" w:rsidRPr="00000000">
        <w:rPr>
          <w:rtl w:val="0"/>
        </w:rPr>
        <w:t xml:space="preserve">  Reducción drástica en la apertura de casos legales, pasando de 10 días a solo  </w:t>
      </w:r>
      <w:r w:rsidDel="00000000" w:rsidR="00000000" w:rsidRPr="00000000">
        <w:rPr>
          <w:b w:val="1"/>
          <w:bCs w:val="1"/>
          <w:rtl w:val="0"/>
        </w:rPr>
        <w:t xml:space="preserve">30 minutos</w:t>
      </w:r>
      <w:r w:rsidDel="00000000" w:rsidR="00000000" w:rsidRPr="00000000">
        <w:rPr>
          <w:rtl w:val="0"/>
        </w:rPr>
        <w:t xml:space="preserve"> .</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Retail:</w:t>
      </w:r>
      <w:r w:rsidDel="00000000" w:rsidR="00000000" w:rsidRPr="00000000">
        <w:rPr>
          <w:rtl w:val="0"/>
        </w:rPr>
        <w:t xml:space="preserve">  Un minorista líder en Norteamérica redujo las pérdidas de inventario de 5,4 millones a  </w:t>
      </w:r>
      <w:r w:rsidDel="00000000" w:rsidR="00000000" w:rsidRPr="00000000">
        <w:rPr>
          <w:b w:val="1"/>
          <w:bCs w:val="1"/>
          <w:rtl w:val="0"/>
        </w:rPr>
        <w:t xml:space="preserve">1,6 millones de dólares</w:t>
      </w:r>
      <w:r w:rsidDel="00000000" w:rsidR="00000000" w:rsidRPr="00000000">
        <w:rPr>
          <w:rtl w:val="0"/>
        </w:rPr>
        <w:t xml:space="preserve">  mediante detección agéntica de demanda.</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Finanzas:</w:t>
      </w:r>
      <w:r w:rsidDel="00000000" w:rsidR="00000000" w:rsidRPr="00000000">
        <w:rPr>
          <w:rtl w:val="0"/>
        </w:rPr>
        <w:t xml:space="preserve">  Generación de informes financieros reducida de 15 días a  </w:t>
      </w:r>
      <w:r w:rsidDel="00000000" w:rsidR="00000000" w:rsidRPr="00000000">
        <w:rPr>
          <w:b w:val="1"/>
          <w:bCs w:val="1"/>
          <w:rtl w:val="0"/>
        </w:rPr>
        <w:t xml:space="preserve">35 minutos</w:t>
      </w:r>
      <w:r w:rsidDel="00000000" w:rsidR="00000000" w:rsidRPr="00000000">
        <w:rPr>
          <w:rtl w:val="0"/>
        </w:rPr>
        <w:t xml:space="preserve"> , con un coste por reporte que cayó de 2.200 a solo  </w:t>
      </w:r>
      <w:r w:rsidDel="00000000" w:rsidR="00000000" w:rsidRPr="00000000">
        <w:rPr>
          <w:b w:val="1"/>
          <w:bCs w:val="1"/>
          <w:rtl w:val="0"/>
        </w:rPr>
        <w:t xml:space="preserve">9 dólares</w:t>
      </w:r>
      <w:r w:rsidDel="00000000" w:rsidR="00000000" w:rsidRPr="00000000">
        <w:rPr>
          <w:rtl w:val="0"/>
        </w:rPr>
        <w:t xml:space="preserve"> .</w:t>
      </w:r>
    </w:p>
    <w:p w:rsidR="00000000" w:rsidDel="00000000" w:rsidP="00000000" w:rsidRDefault="00000000" w:rsidRPr="00000000" w14:paraId="00000013">
      <w:pPr>
        <w:pStyle w:val="Heading4"/>
        <w:rPr/>
      </w:pPr>
      <w:bookmarkStart w:colFirst="0" w:colLast="0" w:name="_i76fqb233f10" w:id="6"/>
      <w:bookmarkEnd w:id="6"/>
      <w:r w:rsidDel="00000000" w:rsidR="00000000" w:rsidRPr="00000000">
        <w:rPr>
          <w:rtl w:val="0"/>
        </w:rPr>
        <w:t xml:space="preserve">3. Infraestructura de Protocolos: MCP, A2A, ACP y UCP</w:t>
      </w:r>
    </w:p>
    <w:p w:rsidR="00000000" w:rsidDel="00000000" w:rsidP="00000000" w:rsidRDefault="00000000" w:rsidRPr="00000000" w14:paraId="00000014">
      <w:pPr>
        <w:rPr/>
      </w:pPr>
      <w:r w:rsidDel="00000000" w:rsidR="00000000" w:rsidRPr="00000000">
        <w:rPr>
          <w:rtl w:val="0"/>
        </w:rPr>
        <w:t xml:space="preserve">Para evitar el  </w:t>
      </w:r>
      <w:r w:rsidDel="00000000" w:rsidR="00000000" w:rsidRPr="00000000">
        <w:rPr>
          <w:i w:val="1"/>
          <w:iCs w:val="1"/>
          <w:rtl w:val="0"/>
        </w:rPr>
        <w:t xml:space="preserve">vendor lock-in</w:t>
      </w:r>
      <w:r w:rsidDel="00000000" w:rsidR="00000000" w:rsidRPr="00000000">
        <w:rPr>
          <w:rtl w:val="0"/>
        </w:rPr>
        <w:t xml:space="preserve"> , el ecosistema ha convergido en protocolos abiertos. La arquitectura de 2026 distingue claramente entre la comunicación  </w:t>
      </w:r>
      <w:r w:rsidDel="00000000" w:rsidR="00000000" w:rsidRPr="00000000">
        <w:rPr>
          <w:b w:val="1"/>
          <w:bCs w:val="1"/>
          <w:rtl w:val="0"/>
        </w:rPr>
        <w:t xml:space="preserve">Vertical</w:t>
      </w:r>
      <w:r w:rsidDel="00000000" w:rsidR="00000000" w:rsidRPr="00000000">
        <w:rPr>
          <w:rtl w:val="0"/>
        </w:rPr>
        <w:t xml:space="preserve">  (Agente a Herramienta) y la  </w:t>
      </w:r>
      <w:r w:rsidDel="00000000" w:rsidR="00000000" w:rsidRPr="00000000">
        <w:rPr>
          <w:b w:val="1"/>
          <w:bCs w:val="1"/>
          <w:rtl w:val="0"/>
        </w:rPr>
        <w:t xml:space="preserve">Horizontal</w:t>
      </w:r>
      <w:r w:rsidDel="00000000" w:rsidR="00000000" w:rsidRPr="00000000">
        <w:rPr>
          <w:rtl w:val="0"/>
        </w:rPr>
        <w:t xml:space="preserve">  (Agente a Agente).</w:t>
      </w:r>
    </w:p>
    <w:p w:rsidR="00000000" w:rsidDel="00000000" w:rsidP="00000000" w:rsidRDefault="00000000" w:rsidRPr="00000000" w14:paraId="00000015">
      <w:pPr>
        <w:pStyle w:val="Heading5"/>
        <w:rPr/>
      </w:pPr>
      <w:bookmarkStart w:colFirst="0" w:colLast="0" w:name="_tc48v0btq2t0" w:id="7"/>
      <w:bookmarkEnd w:id="7"/>
      <w:r w:rsidDel="00000000" w:rsidR="00000000" w:rsidRPr="00000000">
        <w:rPr>
          <w:rtl w:val="0"/>
        </w:rPr>
        <w:t xml:space="preserve">Ecosistema de Protocolos 2026</w:t>
      </w:r>
    </w:p>
    <w:p w:rsidR="00000000" w:rsidDel="00000000" w:rsidP="00000000" w:rsidRDefault="00000000" w:rsidRPr="00000000" w14:paraId="00000016">
      <w:pPr>
        <w:rPr/>
      </w:pPr>
      <w:r w:rsidDel="00000000" w:rsidR="00000000" w:rsidRPr="00000000">
        <w:rPr>
          <w:rtl w:val="0"/>
        </w:rPr>
        <w:t xml:space="preserve">Protocolo,Función Principal,Eje de Comunicación,Socios / Adopción</w:t>
      </w:r>
    </w:p>
    <w:p w:rsidR="00000000" w:rsidDel="00000000" w:rsidP="00000000" w:rsidRDefault="00000000" w:rsidRPr="00000000" w14:paraId="00000017">
      <w:pPr>
        <w:rPr/>
      </w:pPr>
      <w:r w:rsidDel="00000000" w:rsidR="00000000" w:rsidRPr="00000000">
        <w:rPr>
          <w:rtl w:val="0"/>
        </w:rPr>
        <w:t xml:space="preserve">MCP  (Model Context Protocol),"Conexión estándar a herramientas, APIs y datos.",Vertical  (Tooling),"Anthropic (Creador), AAIF (Linux Foundation), OpenAI, Microsoft, Google.  97M descargas."</w:t>
      </w:r>
    </w:p>
    <w:p w:rsidR="00000000" w:rsidDel="00000000" w:rsidP="00000000" w:rsidRDefault="00000000" w:rsidRPr="00000000" w14:paraId="00000018">
      <w:pPr>
        <w:rPr/>
      </w:pPr>
      <w:r w:rsidDel="00000000" w:rsidR="00000000" w:rsidRPr="00000000">
        <w:rPr>
          <w:rtl w:val="0"/>
        </w:rPr>
        <w:t xml:space="preserve">A2A  (Agent-to-Agent),"Coordinación, descubrimiento y delegación entre agentes.",Horizontal  (Peer-to-Peer),"Google (Creador), Salesforce, SAP, PayPal.  +50 socios de lanzamiento."</w:t>
      </w:r>
    </w:p>
    <w:p w:rsidR="00000000" w:rsidDel="00000000" w:rsidP="00000000" w:rsidRDefault="00000000" w:rsidRPr="00000000" w14:paraId="00000019">
      <w:pPr>
        <w:rPr/>
      </w:pPr>
      <w:r w:rsidDel="00000000" w:rsidR="00000000" w:rsidRPr="00000000">
        <w:rPr>
          <w:rtl w:val="0"/>
        </w:rPr>
        <w:t xml:space="preserve">ACP  (Agent Commerce Protocol),Transacciones comerciales abiertas y negociación B2B.,Transaccional,"IBM, Linux Foundation."</w:t>
      </w:r>
    </w:p>
    <w:p w:rsidR="00000000" w:rsidDel="00000000" w:rsidP="00000000" w:rsidRDefault="00000000" w:rsidRPr="00000000" w14:paraId="0000001A">
      <w:pPr>
        <w:rPr/>
      </w:pPr>
      <w:r w:rsidDel="00000000" w:rsidR="00000000" w:rsidRPr="00000000">
        <w:rPr>
          <w:rtl w:val="0"/>
        </w:rPr>
        <w:t xml:space="preserve">UCP  (Universal Commerce Protocol),Transacciones en ecosistema Google Shopping graph.,Ecosistémico,Google (Merchant Agent Actions).</w:t>
      </w:r>
    </w:p>
    <w:p w:rsidR="00000000" w:rsidDel="00000000" w:rsidP="00000000" w:rsidRDefault="00000000" w:rsidRPr="00000000" w14:paraId="0000001B">
      <w:pPr>
        <w:pStyle w:val="Heading5"/>
        <w:rPr/>
      </w:pPr>
      <w:bookmarkStart w:colFirst="0" w:colLast="0" w:name="_752vhorojfis" w:id="8"/>
      <w:bookmarkEnd w:id="8"/>
      <w:r w:rsidDel="00000000" w:rsidR="00000000" w:rsidRPr="00000000">
        <w:rPr>
          <w:rtl w:val="0"/>
        </w:rPr>
        <w:t xml:space="preserve">El "Pasaporte" de Capacidades y la Capa de Transporte</w:t>
      </w:r>
    </w:p>
    <w:p w:rsidR="00000000" w:rsidDel="00000000" w:rsidP="00000000" w:rsidRDefault="00000000" w:rsidRPr="00000000" w14:paraId="0000001C">
      <w:pPr>
        <w:rPr/>
      </w:pPr>
      <w:r w:rsidDel="00000000" w:rsidR="00000000" w:rsidRPr="00000000">
        <w:rPr>
          <w:rtl w:val="0"/>
        </w:rPr>
        <w:t xml:space="preserve">El protocolo  </w:t>
      </w:r>
      <w:r w:rsidDel="00000000" w:rsidR="00000000" w:rsidRPr="00000000">
        <w:rPr>
          <w:b w:val="1"/>
          <w:bCs w:val="1"/>
          <w:rtl w:val="0"/>
        </w:rPr>
        <w:t xml:space="preserve">MCP</w:t>
      </w:r>
      <w:r w:rsidDel="00000000" w:rsidR="00000000" w:rsidRPr="00000000">
        <w:rPr>
          <w:rtl w:val="0"/>
        </w:rPr>
        <w:t xml:space="preserve">  ha consolidado su dominio gracias a su evolución de  </w:t>
      </w:r>
      <w:r w:rsidDel="00000000" w:rsidR="00000000" w:rsidRPr="00000000">
        <w:rPr>
          <w:i w:val="1"/>
          <w:iCs w:val="1"/>
          <w:rtl w:val="0"/>
        </w:rPr>
        <w:t xml:space="preserve">stdio</w:t>
      </w:r>
      <w:r w:rsidDel="00000000" w:rsidR="00000000" w:rsidRPr="00000000">
        <w:rPr>
          <w:rtl w:val="0"/>
        </w:rPr>
        <w:t xml:space="preserve">  a  </w:t>
      </w:r>
      <w:r w:rsidDel="00000000" w:rsidR="00000000" w:rsidRPr="00000000">
        <w:rPr>
          <w:b w:val="1"/>
          <w:bCs w:val="1"/>
          <w:rtl w:val="0"/>
        </w:rPr>
        <w:t xml:space="preserve">HTTP Streamable</w:t>
      </w:r>
      <w:r w:rsidDel="00000000" w:rsidR="00000000" w:rsidRPr="00000000">
        <w:rPr>
          <w:rtl w:val="0"/>
        </w:rPr>
        <w:t xml:space="preserve"> , permitiendo la  </w:t>
      </w:r>
      <w:r w:rsidDel="00000000" w:rsidR="00000000" w:rsidRPr="00000000">
        <w:rPr>
          <w:i w:val="1"/>
          <w:iCs w:val="1"/>
          <w:rtl w:val="0"/>
        </w:rPr>
        <w:t xml:space="preserve">statelessness</w:t>
      </w:r>
      <w:r w:rsidDel="00000000" w:rsidR="00000000" w:rsidRPr="00000000">
        <w:rPr>
          <w:rtl w:val="0"/>
        </w:rPr>
        <w:t xml:space="preserve">  (ausencia de estado) necesaria para el escalamiento horizontal en la nube. Por su parte, el protocolo  </w:t>
      </w:r>
      <w:r w:rsidDel="00000000" w:rsidR="00000000" w:rsidRPr="00000000">
        <w:rPr>
          <w:b w:val="1"/>
          <w:bCs w:val="1"/>
          <w:rtl w:val="0"/>
        </w:rPr>
        <w:t xml:space="preserve">A2A</w:t>
      </w:r>
      <w:r w:rsidDel="00000000" w:rsidR="00000000" w:rsidRPr="00000000">
        <w:rPr>
          <w:rtl w:val="0"/>
        </w:rPr>
        <w:t xml:space="preserve">  introduce el concepto de  </w:t>
      </w:r>
      <w:r w:rsidDel="00000000" w:rsidR="00000000" w:rsidRPr="00000000">
        <w:rPr>
          <w:b w:val="1"/>
          <w:bCs w:val="1"/>
          <w:rtl w:val="0"/>
        </w:rPr>
        <w:t xml:space="preserve">Agent Card</w:t>
      </w:r>
      <w:r w:rsidDel="00000000" w:rsidR="00000000" w:rsidRPr="00000000">
        <w:rPr>
          <w:rtl w:val="0"/>
        </w:rPr>
        <w:t xml:space="preserve"> : un documento JSON que actúa como pasaporte de identidad y capacidades, permitiendo que un agente orquestador descubra y verifique dinámicamente qué puede hacer un sub-agente antes de delegar una tarea.</w:t>
      </w:r>
    </w:p>
    <w:p w:rsidR="00000000" w:rsidDel="00000000" w:rsidP="00000000" w:rsidRDefault="00000000" w:rsidRPr="00000000" w14:paraId="0000001D">
      <w:pPr>
        <w:pStyle w:val="Heading4"/>
        <w:rPr/>
      </w:pPr>
      <w:bookmarkStart w:colFirst="0" w:colLast="0" w:name="_p5kk98h6f4dg" w:id="9"/>
      <w:bookmarkEnd w:id="9"/>
      <w:r w:rsidDel="00000000" w:rsidR="00000000" w:rsidRPr="00000000">
        <w:rPr>
          <w:rtl w:val="0"/>
        </w:rPr>
        <w:t xml:space="preserve">4. Ingeniería de Arneses: Convirtiendo Modelos en Motores de Trabajo</w:t>
      </w:r>
    </w:p>
    <w:p w:rsidR="00000000" w:rsidDel="00000000" w:rsidP="00000000" w:rsidRDefault="00000000" w:rsidRPr="00000000" w14:paraId="0000001E">
      <w:pPr>
        <w:rPr/>
      </w:pPr>
      <w:r w:rsidDel="00000000" w:rsidR="00000000" w:rsidRPr="00000000">
        <w:rPr>
          <w:rtl w:val="0"/>
        </w:rPr>
        <w:t xml:space="preserve">La premisa estratégica para 2026 es:  </w:t>
      </w:r>
      <w:r w:rsidDel="00000000" w:rsidR="00000000" w:rsidRPr="00000000">
        <w:rPr>
          <w:b w:val="1"/>
          <w:bCs w:val="1"/>
          <w:rtl w:val="0"/>
        </w:rPr>
        <w:t xml:space="preserve">Agente = Modelo + Arnés</w:t>
      </w:r>
      <w:r w:rsidDel="00000000" w:rsidR="00000000" w:rsidRPr="00000000">
        <w:rPr>
          <w:rtl w:val="0"/>
        </w:rPr>
        <w:t xml:space="preserve"> . El modelo aporta la inteligencia cognitiva, pero el arnés es el sistema que hace esa inteligencia útil. La optimización del arnés es el mayor multiplicador de rendimiento; de hecho, la configuración del arnés por sí sola puede  </w:t>
      </w:r>
      <w:r w:rsidDel="00000000" w:rsidR="00000000" w:rsidRPr="00000000">
        <w:rPr>
          <w:b w:val="1"/>
          <w:bCs w:val="1"/>
          <w:rtl w:val="0"/>
        </w:rPr>
        <w:t xml:space="preserve">oscilar los benchmarks en más de 5 puntos porcentuales</w:t>
      </w:r>
      <w:r w:rsidDel="00000000" w:rsidR="00000000" w:rsidRPr="00000000">
        <w:rPr>
          <w:rtl w:val="0"/>
        </w:rPr>
        <w:t xml:space="preserve"> .</w:t>
      </w:r>
    </w:p>
    <w:p w:rsidR="00000000" w:rsidDel="00000000" w:rsidP="00000000" w:rsidRDefault="00000000" w:rsidRPr="00000000" w14:paraId="0000001F">
      <w:pPr>
        <w:pStyle w:val="Heading5"/>
        <w:rPr/>
      </w:pPr>
      <w:bookmarkStart w:colFirst="0" w:colLast="0" w:name="_2nyjcmjchv53" w:id="10"/>
      <w:bookmarkEnd w:id="10"/>
      <w:r w:rsidDel="00000000" w:rsidR="00000000" w:rsidRPr="00000000">
        <w:rPr>
          <w:rtl w:val="0"/>
        </w:rPr>
        <w:t xml:space="preserve">Primitivos Críticos del Arnés Empresarial</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Sistemas de Archivos y AGENTS.md:</w:t>
      </w:r>
      <w:r w:rsidDel="00000000" w:rsidR="00000000" w:rsidRPr="00000000">
        <w:rPr>
          <w:rtl w:val="0"/>
        </w:rPr>
        <w:t xml:space="preserve">  El estándar para almacenamiento duradero. Sin una estructura como AGENTS.md, el agente carece de memoria procedimental y colaboración persistente.</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Sandboxes (Cajas de Arena):</w:t>
      </w:r>
      <w:r w:rsidDel="00000000" w:rsidR="00000000" w:rsidRPr="00000000">
        <w:rPr>
          <w:rtl w:val="0"/>
        </w:rPr>
        <w:t xml:space="preserve">  Entornos aislados indispensables para la ejecución segura de código y la auto-verificación de resultados.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Gestión de Memoria y "Context Rot":</w:t>
      </w:r>
      <w:r w:rsidDel="00000000" w:rsidR="00000000" w:rsidRPr="00000000">
        <w:rPr>
          <w:rtl w:val="0"/>
        </w:rPr>
        <w:t xml:space="preserve">  Uso de estrategias de  </w:t>
      </w:r>
      <w:r w:rsidDel="00000000" w:rsidR="00000000" w:rsidRPr="00000000">
        <w:rPr>
          <w:b w:val="1"/>
          <w:bCs w:val="1"/>
          <w:rtl w:val="0"/>
        </w:rPr>
        <w:t xml:space="preserve">Compactación</w:t>
      </w:r>
      <w:r w:rsidDel="00000000" w:rsidR="00000000" w:rsidRPr="00000000">
        <w:rPr>
          <w:rtl w:val="0"/>
        </w:rPr>
        <w:t xml:space="preserve">  (resumen inteligente de historial) y  </w:t>
      </w:r>
      <w:r w:rsidDel="00000000" w:rsidR="00000000" w:rsidRPr="00000000">
        <w:rPr>
          <w:b w:val="1"/>
          <w:bCs w:val="1"/>
          <w:rtl w:val="0"/>
        </w:rPr>
        <w:t xml:space="preserve">Tool Offloading</w:t>
      </w:r>
      <w:r w:rsidDel="00000000" w:rsidR="00000000" w:rsidRPr="00000000">
        <w:rPr>
          <w:rtl w:val="0"/>
        </w:rPr>
        <w:t xml:space="preserve">  para evitar que la saturación de tokens degrade el razonamiento del modelo.</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Skills y Progressive Disclosure:</w:t>
      </w:r>
      <w:r w:rsidDel="00000000" w:rsidR="00000000" w:rsidRPr="00000000">
        <w:rPr>
          <w:rtl w:val="0"/>
        </w:rPr>
        <w:t xml:space="preserve">  La carga selectiva de herramientas para proteger la ventana de contexto de la saturación inicial.</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Ralph Loops (Bucles de Continuación):</w:t>
      </w:r>
      <w:r w:rsidDel="00000000" w:rsidR="00000000" w:rsidRPr="00000000">
        <w:rPr>
          <w:rtl w:val="0"/>
        </w:rPr>
        <w:t xml:space="preserve">  Mecanismos de ingeniería que interceptan intentos de salida prematuros, forzando al agente a iterar en un contexto limpio hasta alcanzar el objetivo de largo horizonte.Invertir en la ingeniería del arnés ofrece una  </w:t>
      </w:r>
      <w:r w:rsidDel="00000000" w:rsidR="00000000" w:rsidRPr="00000000">
        <w:rPr>
          <w:b w:val="1"/>
          <w:bCs w:val="1"/>
          <w:rtl w:val="0"/>
        </w:rPr>
        <w:t xml:space="preserve">eficiencia de costes 10 veces superior</w:t>
      </w:r>
      <w:r w:rsidDel="00000000" w:rsidR="00000000" w:rsidRPr="00000000">
        <w:rPr>
          <w:rtl w:val="0"/>
        </w:rPr>
        <w:t xml:space="preserve">  que la migración a un modelo de mayor escala (como el paso de Nemotron a Opus), ya que maximiza el rendimiento del razonamiento ya disponible.</w:t>
      </w:r>
    </w:p>
    <w:p w:rsidR="00000000" w:rsidDel="00000000" w:rsidP="00000000" w:rsidRDefault="00000000" w:rsidRPr="00000000" w14:paraId="00000025">
      <w:pPr>
        <w:pStyle w:val="Heading4"/>
        <w:rPr/>
      </w:pPr>
      <w:bookmarkStart w:colFirst="0" w:colLast="0" w:name="_2v4vztz9xeid" w:id="11"/>
      <w:bookmarkEnd w:id="11"/>
      <w:r w:rsidDel="00000000" w:rsidR="00000000" w:rsidRPr="00000000">
        <w:rPr>
          <w:rtl w:val="0"/>
        </w:rPr>
        <w:t xml:space="preserve">5. Gobernanza y Seguridad: El Rol de los Agentes Guardianes</w:t>
      </w:r>
    </w:p>
    <w:p w:rsidR="00000000" w:rsidDel="00000000" w:rsidP="00000000" w:rsidRDefault="00000000" w:rsidRPr="00000000" w14:paraId="00000026">
      <w:pPr>
        <w:rPr/>
      </w:pPr>
      <w:r w:rsidDel="00000000" w:rsidR="00000000" w:rsidRPr="00000000">
        <w:rPr>
          <w:rtl w:val="0"/>
        </w:rPr>
        <w:t xml:space="preserve">La autonomía introduce el riesgo de  </w:t>
      </w:r>
      <w:r w:rsidDel="00000000" w:rsidR="00000000" w:rsidRPr="00000000">
        <w:rPr>
          <w:b w:val="1"/>
          <w:bCs w:val="1"/>
          <w:rtl w:val="0"/>
        </w:rPr>
        <w:t xml:space="preserve">"Exceso de Agencia"</w:t>
      </w:r>
      <w:r w:rsidDel="00000000" w:rsidR="00000000" w:rsidRPr="00000000">
        <w:rPr>
          <w:rtl w:val="0"/>
        </w:rPr>
        <w:t xml:space="preserve"> , donde un agente asume permisos que no requiere. Esto, sumado al riesgo reputacional de los fallos de seguridad, ha impulsado que los  </w:t>
      </w:r>
      <w:r w:rsidDel="00000000" w:rsidR="00000000" w:rsidRPr="00000000">
        <w:rPr>
          <w:b w:val="1"/>
          <w:bCs w:val="1"/>
          <w:rtl w:val="0"/>
        </w:rPr>
        <w:t xml:space="preserve">Agentes Guardianes</w:t>
      </w:r>
      <w:r w:rsidDel="00000000" w:rsidR="00000000" w:rsidRPr="00000000">
        <w:rPr>
          <w:rtl w:val="0"/>
        </w:rPr>
        <w:t xml:space="preserve">  proyecten capturar entre el  </w:t>
      </w:r>
      <w:r w:rsidDel="00000000" w:rsidR="00000000" w:rsidRPr="00000000">
        <w:rPr>
          <w:b w:val="1"/>
          <w:bCs w:val="1"/>
          <w:rtl w:val="0"/>
        </w:rPr>
        <w:t xml:space="preserve">10% y 15% del mercado de IA para 2030</w:t>
      </w:r>
      <w:r w:rsidDel="00000000" w:rsidR="00000000" w:rsidRPr="00000000">
        <w:rPr>
          <w:rtl w:val="0"/>
        </w:rPr>
        <w:t xml:space="preserve"> .</w:t>
      </w:r>
    </w:p>
    <w:p w:rsidR="00000000" w:rsidDel="00000000" w:rsidP="00000000" w:rsidRDefault="00000000" w:rsidRPr="00000000" w14:paraId="00000027">
      <w:pPr>
        <w:pStyle w:val="Heading5"/>
        <w:rPr/>
      </w:pPr>
      <w:bookmarkStart w:colFirst="0" w:colLast="0" w:name="_yhj06z26426f" w:id="12"/>
      <w:bookmarkEnd w:id="12"/>
      <w:r w:rsidDel="00000000" w:rsidR="00000000" w:rsidRPr="00000000">
        <w:rPr>
          <w:rtl w:val="0"/>
        </w:rPr>
        <w:t xml:space="preserve">Arquitectura de Supervisión Activa</w:t>
      </w:r>
    </w:p>
    <w:p w:rsidR="00000000" w:rsidDel="00000000" w:rsidP="00000000" w:rsidRDefault="00000000" w:rsidRPr="00000000" w14:paraId="00000028">
      <w:pPr>
        <w:rPr/>
      </w:pPr>
      <w:r w:rsidDel="00000000" w:rsidR="00000000" w:rsidRPr="00000000">
        <w:rPr>
          <w:rtl w:val="0"/>
        </w:rPr>
        <w:t xml:space="preserve">A diferencia de los logs de auditoría pasivos, los guardianes operan en tiempo real:</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Monitoreo de "Drift":</w:t>
      </w:r>
      <w:r w:rsidDel="00000000" w:rsidR="00000000" w:rsidRPr="00000000">
        <w:rPr>
          <w:rtl w:val="0"/>
        </w:rPr>
        <w:t xml:space="preserve">  Detectan desviaciones de los objetivos originales.</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Mecanismos Human-in-the-loop:</w:t>
      </w:r>
      <w:r w:rsidDel="00000000" w:rsidR="00000000" w:rsidRPr="00000000">
        <w:rPr>
          <w:rtl w:val="0"/>
        </w:rPr>
        <w:t xml:space="preserve">  Puntos de control obligatorios para transacciones de alto valor o impacto ético.</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Seguridad Estandarizada:</w:t>
      </w:r>
      <w:r w:rsidDel="00000000" w:rsidR="00000000" w:rsidRPr="00000000">
        <w:rPr>
          <w:rtl w:val="0"/>
        </w:rPr>
        <w:t xml:space="preserve">  Integración con  </w:t>
      </w:r>
      <w:r w:rsidDel="00000000" w:rsidR="00000000" w:rsidRPr="00000000">
        <w:rPr>
          <w:b w:val="1"/>
          <w:bCs w:val="1"/>
          <w:rtl w:val="0"/>
        </w:rPr>
        <w:t xml:space="preserve">OAuth 2.1</w:t>
      </w:r>
      <w:r w:rsidDel="00000000" w:rsidR="00000000" w:rsidRPr="00000000">
        <w:rPr>
          <w:rtl w:val="0"/>
        </w:rPr>
        <w:t xml:space="preserve"> ,  </w:t>
      </w:r>
      <w:r w:rsidDel="00000000" w:rsidR="00000000" w:rsidRPr="00000000">
        <w:rPr>
          <w:b w:val="1"/>
          <w:bCs w:val="1"/>
          <w:rtl w:val="0"/>
        </w:rPr>
        <w:t xml:space="preserve">SAML</w:t>
      </w:r>
      <w:r w:rsidDel="00000000" w:rsidR="00000000" w:rsidRPr="00000000">
        <w:rPr>
          <w:rtl w:val="0"/>
        </w:rPr>
        <w:t xml:space="preserve">  y  </w:t>
      </w:r>
      <w:r w:rsidDel="00000000" w:rsidR="00000000" w:rsidRPr="00000000">
        <w:rPr>
          <w:b w:val="1"/>
          <w:bCs w:val="1"/>
          <w:rtl w:val="0"/>
        </w:rPr>
        <w:t xml:space="preserve">OIDC</w:t>
      </w:r>
      <w:r w:rsidDel="00000000" w:rsidR="00000000" w:rsidRPr="00000000">
        <w:rPr>
          <w:rtl w:val="0"/>
        </w:rPr>
        <w:t xml:space="preserve"> , asegurando que cada acción del agente esté vinculada a una identidad corporativa rastreable.</w:t>
      </w:r>
    </w:p>
    <w:p w:rsidR="00000000" w:rsidDel="00000000" w:rsidP="00000000" w:rsidRDefault="00000000" w:rsidRPr="00000000" w14:paraId="0000002C">
      <w:pPr>
        <w:pStyle w:val="Heading4"/>
        <w:rPr/>
      </w:pPr>
      <w:bookmarkStart w:colFirst="0" w:colLast="0" w:name="_xoocd0wzsoy4" w:id="13"/>
      <w:bookmarkEnd w:id="13"/>
      <w:r w:rsidDel="00000000" w:rsidR="00000000" w:rsidRPr="00000000">
        <w:rPr>
          <w:rtl w:val="0"/>
        </w:rPr>
        <w:t xml:space="preserve">6. Justificación de la Inversión y Hoja de Ruta de Implementación</w:t>
      </w:r>
    </w:p>
    <w:p w:rsidR="00000000" w:rsidDel="00000000" w:rsidP="00000000" w:rsidRDefault="00000000" w:rsidRPr="00000000" w14:paraId="0000002D">
      <w:pPr>
        <w:rPr/>
      </w:pPr>
      <w:r w:rsidDel="00000000" w:rsidR="00000000" w:rsidRPr="00000000">
        <w:rPr>
          <w:rtl w:val="0"/>
        </w:rPr>
        <w:t xml:space="preserve">Los líderes de TI deben presentar la IA agéntica como una actualización de la infraestructura de eficiencia, no como un experimento. La optimización del arnés y el uso de protocolos abiertos garantizan que la inversión sea agnóstica al modelo y duradera.</w:t>
      </w:r>
    </w:p>
    <w:p w:rsidR="00000000" w:rsidDel="00000000" w:rsidP="00000000" w:rsidRDefault="00000000" w:rsidRPr="00000000" w14:paraId="0000002E">
      <w:pPr>
        <w:pStyle w:val="Heading5"/>
        <w:rPr/>
      </w:pPr>
      <w:bookmarkStart w:colFirst="0" w:colLast="0" w:name="_gsgdm4cv3w0v" w:id="14"/>
      <w:bookmarkEnd w:id="14"/>
      <w:r w:rsidDel="00000000" w:rsidR="00000000" w:rsidRPr="00000000">
        <w:rPr>
          <w:rtl w:val="0"/>
        </w:rPr>
        <w:t xml:space="preserve">Hoja de Ruta Estratégica 2026</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Fase 1: Fundación (2-6 semanas):</w:t>
      </w:r>
      <w:r w:rsidDel="00000000" w:rsidR="00000000" w:rsidRPr="00000000">
        <w:rPr>
          <w:rtl w:val="0"/>
        </w:rPr>
        <w:t xml:space="preserve">  Adopción de  </w:t>
      </w:r>
      <w:r w:rsidDel="00000000" w:rsidR="00000000" w:rsidRPr="00000000">
        <w:rPr>
          <w:b w:val="1"/>
          <w:bCs w:val="1"/>
          <w:rtl w:val="0"/>
        </w:rPr>
        <w:t xml:space="preserve">MCP</w:t>
      </w:r>
      <w:r w:rsidDel="00000000" w:rsidR="00000000" w:rsidRPr="00000000">
        <w:rPr>
          <w:rtl w:val="0"/>
        </w:rPr>
        <w:t xml:space="preserve">  para estandarizar el acceso a herramientas y fuentes de datos. Implementación de sistemas de archivos AGENTS.md.</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Fase 2: Orquestación (4-12 semanas):</w:t>
      </w:r>
      <w:r w:rsidDel="00000000" w:rsidR="00000000" w:rsidRPr="00000000">
        <w:rPr>
          <w:rtl w:val="0"/>
        </w:rPr>
        <w:t xml:space="preserve">  Implementación de topologías multi-agente basadas en  </w:t>
      </w:r>
      <w:r w:rsidDel="00000000" w:rsidR="00000000" w:rsidRPr="00000000">
        <w:rPr>
          <w:b w:val="1"/>
          <w:bCs w:val="1"/>
          <w:rtl w:val="0"/>
        </w:rPr>
        <w:t xml:space="preserve">A2A</w:t>
      </w:r>
      <w:r w:rsidDel="00000000" w:rsidR="00000000" w:rsidRPr="00000000">
        <w:rPr>
          <w:rtl w:val="0"/>
        </w:rPr>
        <w:t xml:space="preserve">  y uso de  </w:t>
      </w:r>
      <w:r w:rsidDel="00000000" w:rsidR="00000000" w:rsidRPr="00000000">
        <w:rPr>
          <w:b w:val="1"/>
          <w:bCs w:val="1"/>
          <w:rtl w:val="0"/>
        </w:rPr>
        <w:t xml:space="preserve">Agent Cards</w:t>
      </w:r>
      <w:r w:rsidDel="00000000" w:rsidR="00000000" w:rsidRPr="00000000">
        <w:rPr>
          <w:rtl w:val="0"/>
        </w:rPr>
        <w:t xml:space="preserve">  para el descubrimiento dinámico de capacidades.</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Fase 3: Autonomía y Comercio (6-24 meses):</w:t>
      </w:r>
      <w:r w:rsidDel="00000000" w:rsidR="00000000" w:rsidRPr="00000000">
        <w:rPr>
          <w:rtl w:val="0"/>
        </w:rPr>
        <w:t xml:space="preserve">  Evaluación de protocolos transaccionales ( </w:t>
      </w:r>
      <w:r w:rsidDel="00000000" w:rsidR="00000000" w:rsidRPr="00000000">
        <w:rPr>
          <w:b w:val="1"/>
          <w:bCs w:val="1"/>
          <w:rtl w:val="0"/>
        </w:rPr>
        <w:t xml:space="preserve">ACP/UCP</w:t>
      </w:r>
      <w:r w:rsidDel="00000000" w:rsidR="00000000" w:rsidRPr="00000000">
        <w:rPr>
          <w:rtl w:val="0"/>
        </w:rPr>
        <w:t xml:space="preserve"> ) para permitir transacciones autónomas bajo gobernanza estricta.</w:t>
      </w:r>
    </w:p>
    <w:p w:rsidR="00000000" w:rsidDel="00000000" w:rsidP="00000000" w:rsidRDefault="00000000" w:rsidRPr="00000000" w14:paraId="00000032">
      <w:pPr>
        <w:pStyle w:val="Heading5"/>
        <w:rPr/>
      </w:pPr>
      <w:bookmarkStart w:colFirst="0" w:colLast="0" w:name="_b7xfdkq131ry" w:id="15"/>
      <w:bookmarkEnd w:id="15"/>
      <w:r w:rsidDel="00000000" w:rsidR="00000000" w:rsidRPr="00000000">
        <w:rPr>
          <w:rtl w:val="0"/>
        </w:rPr>
        <w:t xml:space="preserve">Conclusión Final</w:t>
      </w:r>
    </w:p>
    <w:p w:rsidR="00000000" w:rsidDel="00000000" w:rsidP="00000000" w:rsidRDefault="00000000" w:rsidRPr="00000000" w14:paraId="00000033">
      <w:pPr>
        <w:rPr/>
      </w:pPr>
      <w:r w:rsidDel="00000000" w:rsidR="00000000" w:rsidRPr="00000000">
        <w:rPr>
          <w:rtl w:val="0"/>
        </w:rPr>
        <w:t xml:space="preserve">El éxito en la era de la IA agéntica no depende de la lealtad a un modelo específico, sino de la robustez de la arquitectura de protocolos y arneses. Una infraestructura bien diseñada no solo cierra la brecha entre experimentación y producción, sino que garantiza que la IA fortalezca el núcleo estratégico del negocio, transformando la capacidad operativa de la empresa en un motor de ejecución autónoma, seguro y escalable.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