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a1393o8fpqg" w:id="0"/>
      <w:bookmarkEnd w:id="0"/>
      <w:r w:rsidDel="00000000" w:rsidR="00000000" w:rsidRPr="00000000">
        <w:rPr>
          <w:rtl w:val="0"/>
        </w:rPr>
        <w:t xml:space="preserve">Guía de Arquitectura: Estrategias de Orquestación Multi-Agente y Selección de Frameworks para Producción</w:t>
      </w:r>
    </w:p>
    <w:p w:rsidR="00000000" w:rsidDel="00000000" w:rsidP="00000000" w:rsidRDefault="00000000" w:rsidRPr="00000000" w14:paraId="00000002">
      <w:pPr>
        <w:pStyle w:val="Heading4"/>
        <w:rPr/>
      </w:pPr>
      <w:bookmarkStart w:colFirst="0" w:colLast="0" w:name="_6u7l6jki5h37" w:id="1"/>
      <w:bookmarkEnd w:id="1"/>
      <w:r w:rsidDel="00000000" w:rsidR="00000000" w:rsidRPr="00000000">
        <w:rPr>
          <w:rtl w:val="0"/>
        </w:rPr>
        <w:t xml:space="preserve">1. El Imperativo de la Transición: Del Prompt Monolítico a la Agencia Distribuida</w:t>
      </w:r>
    </w:p>
    <w:p w:rsidR="00000000" w:rsidDel="00000000" w:rsidP="00000000" w:rsidRDefault="00000000" w:rsidRPr="00000000" w14:paraId="00000003">
      <w:pPr>
        <w:rPr/>
      </w:pPr>
      <w:r w:rsidDel="00000000" w:rsidR="00000000" w:rsidRPr="00000000">
        <w:rPr>
          <w:rtl w:val="0"/>
        </w:rPr>
        <w:t xml:space="preserve">Como Arquitecto en Jefe, he observado que la era del "God Prompt" ha llegado a un punto de quiebre físico. Intentar que un solo modelo actúe como programador, auditor y gerente dentro de una misma ventana de contexto es una receta para la fragilidad sistémica. Los datos son claros: la saturación de contexto degrada el razonamiento en modelos monolíticos hasta en un 73%. Esta degradación no es solo un error de "instrucción", es una limitación inherente del mecanismo de atención de la arquitectura Transformer, conocida como el fenómeno "Lost in the Middle".La transición hacia sistemas multi-agente (MAS) es obligatoria para escalar a más de 100,000 tareas mensuales por tres impulsores estratégicos:</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Mitigación del "Lost in the Middle":</w:t>
      </w:r>
      <w:r w:rsidDel="00000000" w:rsidR="00000000" w:rsidRPr="00000000">
        <w:rPr>
          <w:rtl w:val="0"/>
        </w:rPr>
        <w:t xml:space="preserve">  Al fragmentar la carga de trabajo, cada agente opera en una ventana de contexto limpia y enfocada, eliminando el ruido que sepulta la información crítica en los modelos monolíticos.</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Colaboración Adversarial (Debate):</w:t>
      </w:r>
      <w:r w:rsidDel="00000000" w:rsidR="00000000" w:rsidRPr="00000000">
        <w:rPr>
          <w:rtl w:val="0"/>
        </w:rPr>
        <w:t xml:space="preserve">  La "siconfancia" (la tendencia del modelo a dar la razón al usuario o a sí mismo) se rompe mediante mecanismos de debate. Un agente crítico mejora la precisión factual en un 23% al desafiar las alucinaciones de un agente creador.</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Especialización de Roles:</w:t>
      </w:r>
      <w:r w:rsidDel="00000000" w:rsidR="00000000" w:rsidRPr="00000000">
        <w:rPr>
          <w:rtl w:val="0"/>
        </w:rPr>
        <w:t xml:space="preserve">  La fragmentación imita la estructura bimodal de las organizaciones humanas. Un especialista en "cumplimiento legal" no debe distraerse con la lógica de "diseño de interfaz".</w:t>
      </w:r>
      <w:r w:rsidDel="00000000" w:rsidR="00000000" w:rsidRPr="00000000">
        <w:rPr>
          <w:b w:val="1"/>
          <w:bCs w:val="1"/>
          <w:rtl w:val="0"/>
        </w:rPr>
        <w:t xml:space="preserve">Análisis de Arquitecto:</w:t>
      </w:r>
      <w:r w:rsidDel="00000000" w:rsidR="00000000" w:rsidRPr="00000000">
        <w:rPr>
          <w:rtl w:val="0"/>
        </w:rPr>
        <w:t xml:space="preserve">  Esta compartimentación es la única vía técnica para superar las limitaciones físicas del mecanismo de atención. Al distribuir la inteligencia, creamos una arquitectura donde el fallo de un nodo no compromete la teleología global del sistema, permitiendo una fiabilidad imposible de alcanzar con un "prompt" de miles de líneas.</w:t>
      </w:r>
    </w:p>
    <w:p w:rsidR="00000000" w:rsidDel="00000000" w:rsidP="00000000" w:rsidRDefault="00000000" w:rsidRPr="00000000" w14:paraId="00000007">
      <w:pPr>
        <w:pStyle w:val="Heading4"/>
        <w:rPr/>
      </w:pPr>
      <w:bookmarkStart w:colFirst="0" w:colLast="0" w:name="_7c0n4v11ptqu" w:id="2"/>
      <w:bookmarkEnd w:id="2"/>
      <w:r w:rsidDel="00000000" w:rsidR="00000000" w:rsidRPr="00000000">
        <w:rPr>
          <w:rtl w:val="0"/>
        </w:rPr>
        <w:t xml:space="preserve">2. Taxonomía de Patrones de Orquestación: Lógica de Coordinación y Trade-offs</w:t>
      </w:r>
    </w:p>
    <w:p w:rsidR="00000000" w:rsidDel="00000000" w:rsidP="00000000" w:rsidRDefault="00000000" w:rsidRPr="00000000" w14:paraId="00000008">
      <w:pPr>
        <w:rPr/>
      </w:pPr>
      <w:r w:rsidDel="00000000" w:rsidR="00000000" w:rsidRPr="00000000">
        <w:rPr>
          <w:rtl w:val="0"/>
        </w:rPr>
        <w:t xml:space="preserve">Seleccionar el patrón de coordinación es la decisión de mayor impacto arquitectónico; es nuestro "momento de microservicios". Elegir incorrectamente garantiza latencias inaceptables o una deuda técnica impagable.| Patrón | Control | Escalabilidad | Tolerancia a Fallos | Latencia Típica || ------ | ------ | ------ | ------ | ------ || </w:t>
      </w:r>
      <w:r w:rsidDel="00000000" w:rsidR="00000000" w:rsidRPr="00000000">
        <w:rPr>
          <w:b w:val="1"/>
          <w:bCs w:val="1"/>
          <w:rtl w:val="0"/>
        </w:rPr>
        <w:t xml:space="preserve">Orchestrator-Worker</w:t>
      </w:r>
      <w:r w:rsidDel="00000000" w:rsidR="00000000" w:rsidRPr="00000000">
        <w:rPr>
          <w:rtl w:val="0"/>
        </w:rPr>
        <w:t xml:space="preserve"> | Alto | Media | Baja (Punto único de fallo) | 2–5s / tarea || </w:t>
      </w:r>
      <w:r w:rsidDel="00000000" w:rsidR="00000000" w:rsidRPr="00000000">
        <w:rPr>
          <w:b w:val="1"/>
          <w:bCs w:val="1"/>
          <w:rtl w:val="0"/>
        </w:rPr>
        <w:t xml:space="preserve">Swarm (Enjambre)</w:t>
      </w:r>
      <w:r w:rsidDel="00000000" w:rsidR="00000000" w:rsidRPr="00000000">
        <w:rPr>
          <w:rtl w:val="0"/>
        </w:rPr>
        <w:t xml:space="preserve"> | Bajo | Alta | Alta (Nodos reemplazables) | Variable || </w:t>
      </w:r>
      <w:r w:rsidDel="00000000" w:rsidR="00000000" w:rsidRPr="00000000">
        <w:rPr>
          <w:b w:val="1"/>
          <w:bCs w:val="1"/>
          <w:rtl w:val="0"/>
        </w:rPr>
        <w:t xml:space="preserve">Mesh (Malla)</w:t>
      </w:r>
      <w:r w:rsidDel="00000000" w:rsidR="00000000" w:rsidRPr="00000000">
        <w:rPr>
          <w:rtl w:val="0"/>
        </w:rPr>
        <w:t xml:space="preserve"> | Medio | Baja | Media (Degradación gradual) | 5–15s / ciclo || </w:t>
      </w:r>
      <w:r w:rsidDel="00000000" w:rsidR="00000000" w:rsidRPr="00000000">
        <w:rPr>
          <w:b w:val="1"/>
          <w:bCs w:val="1"/>
          <w:rtl w:val="0"/>
        </w:rPr>
        <w:t xml:space="preserve">Hierarchical</w:t>
      </w:r>
      <w:r w:rsidDel="00000000" w:rsidR="00000000" w:rsidRPr="00000000">
        <w:rPr>
          <w:rtl w:val="0"/>
        </w:rPr>
        <w:t xml:space="preserve"> | Alto | Alta | Media (Aislamiento de ramas) | 6–12s (min) || </w:t>
      </w:r>
      <w:r w:rsidDel="00000000" w:rsidR="00000000" w:rsidRPr="00000000">
        <w:rPr>
          <w:b w:val="1"/>
          <w:bCs w:val="1"/>
          <w:rtl w:val="0"/>
        </w:rPr>
        <w:t xml:space="preserve">Pipeline</w:t>
      </w:r>
      <w:r w:rsidDel="00000000" w:rsidR="00000000" w:rsidRPr="00000000">
        <w:rPr>
          <w:rtl w:val="0"/>
        </w:rPr>
        <w:t xml:space="preserve"> | Alto | Media | </w:t>
      </w:r>
      <w:r w:rsidDel="00000000" w:rsidR="00000000" w:rsidRPr="00000000">
        <w:rPr>
          <w:b w:val="1"/>
          <w:bCs w:val="1"/>
          <w:rtl w:val="0"/>
        </w:rPr>
        <w:t xml:space="preserve">Muy Baja (Riesgo de línea de montaje)</w:t>
      </w:r>
      <w:r w:rsidDel="00000000" w:rsidR="00000000" w:rsidRPr="00000000">
        <w:rPr>
          <w:rtl w:val="0"/>
        </w:rPr>
        <w:t xml:space="preserve"> | Predictible |</w:t>
      </w:r>
    </w:p>
    <w:p w:rsidR="00000000" w:rsidDel="00000000" w:rsidP="00000000" w:rsidRDefault="00000000" w:rsidRPr="00000000" w14:paraId="00000009">
      <w:pPr>
        <w:rPr/>
      </w:pPr>
      <w:r w:rsidDel="00000000" w:rsidR="00000000" w:rsidRPr="00000000">
        <w:rPr>
          <w:b w:val="1"/>
          <w:bCs w:val="1"/>
          <w:rtl w:val="0"/>
        </w:rPr>
        <w:t xml:space="preserve">Análisis de Selección: Swarm frente a Mesh</w:t>
      </w:r>
      <w:r w:rsidDel="00000000" w:rsidR="00000000" w:rsidRPr="00000000">
        <w:rPr>
          <w:rtl w:val="0"/>
        </w:rPr>
        <w:t xml:space="preserve">  La decisión entre  </w:t>
      </w:r>
      <w:r w:rsidDel="00000000" w:rsidR="00000000" w:rsidRPr="00000000">
        <w:rPr>
          <w:i w:val="1"/>
          <w:iCs w:val="1"/>
          <w:rtl w:val="0"/>
        </w:rPr>
        <w:t xml:space="preserve">Swarm</w:t>
      </w:r>
      <w:r w:rsidDel="00000000" w:rsidR="00000000" w:rsidRPr="00000000">
        <w:rPr>
          <w:rtl w:val="0"/>
        </w:rPr>
        <w:t xml:space="preserve">  y  </w:t>
      </w:r>
      <w:r w:rsidDel="00000000" w:rsidR="00000000" w:rsidRPr="00000000">
        <w:rPr>
          <w:i w:val="1"/>
          <w:iCs w:val="1"/>
          <w:rtl w:val="0"/>
        </w:rPr>
        <w:t xml:space="preserve">Mesh</w:t>
      </w:r>
      <w:r w:rsidDel="00000000" w:rsidR="00000000" w:rsidRPr="00000000">
        <w:rPr>
          <w:rtl w:val="0"/>
        </w:rPr>
        <w:t xml:space="preserve">  se basa en la incertidumbre del "espacio del problema". Debemos preferir la  </w:t>
      </w:r>
      <w:r w:rsidDel="00000000" w:rsidR="00000000" w:rsidRPr="00000000">
        <w:rPr>
          <w:b w:val="1"/>
          <w:bCs w:val="1"/>
          <w:rtl w:val="0"/>
        </w:rPr>
        <w:t xml:space="preserve">coordinación emergente (Swarm)</w:t>
      </w:r>
      <w:r w:rsidDel="00000000" w:rsidR="00000000" w:rsidRPr="00000000">
        <w:rPr>
          <w:rtl w:val="0"/>
        </w:rPr>
        <w:t xml:space="preserve">  cuando el camino a la solución es desconocido y buscamos una exploración masiva de hipótesis a través de un  </w:t>
      </w:r>
      <w:r w:rsidDel="00000000" w:rsidR="00000000" w:rsidRPr="00000000">
        <w:rPr>
          <w:i w:val="1"/>
          <w:iCs w:val="1"/>
          <w:rtl w:val="0"/>
        </w:rPr>
        <w:t xml:space="preserve">blackboard</w:t>
      </w:r>
      <w:r w:rsidDel="00000000" w:rsidR="00000000" w:rsidRPr="00000000">
        <w:rPr>
          <w:rtl w:val="0"/>
        </w:rPr>
        <w:t xml:space="preserve">  compartido. En cambio, optamos por  </w:t>
      </w:r>
      <w:r w:rsidDel="00000000" w:rsidR="00000000" w:rsidRPr="00000000">
        <w:rPr>
          <w:b w:val="1"/>
          <w:bCs w:val="1"/>
          <w:rtl w:val="0"/>
        </w:rPr>
        <w:t xml:space="preserve">conexiones persistentes (Mesh)</w:t>
      </w:r>
      <w:r w:rsidDel="00000000" w:rsidR="00000000" w:rsidRPr="00000000">
        <w:rPr>
          <w:rtl w:val="0"/>
        </w:rPr>
        <w:t xml:space="preserve">  para grupos pequeños (3-8 agentes) que requieren una precisión quirúrgica e iteración constante sobre un artefacto compartido, como un bucle de código y validación. En los  </w:t>
      </w:r>
      <w:r w:rsidDel="00000000" w:rsidR="00000000" w:rsidRPr="00000000">
        <w:rPr>
          <w:i w:val="1"/>
          <w:iCs w:val="1"/>
          <w:rtl w:val="0"/>
        </w:rPr>
        <w:t xml:space="preserve">Pipelines</w:t>
      </w:r>
      <w:r w:rsidDel="00000000" w:rsidR="00000000" w:rsidRPr="00000000">
        <w:rPr>
          <w:rtl w:val="0"/>
        </w:rPr>
        <w:t xml:space="preserve"> , advierto sobre el "riesgo de línea de montaje": el fallo en una sola etapa bloquea el flujo completo, lo que exige guardias de calidad entre nodos.</w:t>
      </w:r>
    </w:p>
    <w:p w:rsidR="00000000" w:rsidDel="00000000" w:rsidP="00000000" w:rsidRDefault="00000000" w:rsidRPr="00000000" w14:paraId="0000000A">
      <w:pPr>
        <w:pStyle w:val="Heading4"/>
        <w:rPr/>
      </w:pPr>
      <w:bookmarkStart w:colFirst="0" w:colLast="0" w:name="_mm5l65cl3708" w:id="3"/>
      <w:bookmarkEnd w:id="3"/>
      <w:r w:rsidDel="00000000" w:rsidR="00000000" w:rsidRPr="00000000">
        <w:rPr>
          <w:rtl w:val="0"/>
        </w:rPr>
        <w:t xml:space="preserve">3. Evaluación Crítica de Frameworks: LangGraph, CrewAI y AutoGen (AG2)</w:t>
      </w:r>
    </w:p>
    <w:p w:rsidR="00000000" w:rsidDel="00000000" w:rsidP="00000000" w:rsidRDefault="00000000" w:rsidRPr="00000000" w14:paraId="0000000B">
      <w:pPr>
        <w:rPr/>
      </w:pPr>
      <w:r w:rsidDel="00000000" w:rsidR="00000000" w:rsidRPr="00000000">
        <w:rPr>
          <w:rtl w:val="0"/>
        </w:rPr>
        <w:t xml:space="preserve">En 2026, la elección del framework es una decisión financiera. Con la llegada de modelos como GPT-5 y Claude 4.5, una orquestación ineficiente puede llevar a una empresa a la quiebra operativa antes de terminar el trimestre.</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LangGraph:</w:t>
      </w:r>
      <w:r w:rsidDel="00000000" w:rsidR="00000000" w:rsidRPr="00000000">
        <w:rPr>
          <w:rtl w:val="0"/>
        </w:rPr>
        <w:t xml:space="preserve">  Es el estándar para sectores regulados (JPMorgan, Uber). Su enfoque en grafos cíclicos de estado y control determinista ofrece una tasa de éxito del 87%. Es ideal para flujos que requieren auditoría y pasos de aprobación humana.</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CrewAI:</w:t>
      </w:r>
      <w:r w:rsidDel="00000000" w:rsidR="00000000" w:rsidRPr="00000000">
        <w:rPr>
          <w:rtl w:val="0"/>
        </w:rPr>
        <w:t xml:space="preserve">  Destaca por su velocidad de despliegue y eficiencia de tokens (consume un 34% menos que AutoGen). Su enfoque en "Role-Playing" jerárquico es perfecto para procesos operativos claros.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AutoGen (AG2):</w:t>
      </w:r>
      <w:r w:rsidDel="00000000" w:rsidR="00000000" w:rsidRPr="00000000">
        <w:rPr>
          <w:rtl w:val="0"/>
        </w:rPr>
        <w:t xml:space="preserve">  Es la herramienta de mayor potencia para razonamiento complejo y debate multi-agente, aunque su modelo de actores asincrónicos sacrifica el control estricto por la profundidad de pensamiento.</w:t>
      </w:r>
      <w:r w:rsidDel="00000000" w:rsidR="00000000" w:rsidRPr="00000000">
        <w:rPr>
          <w:b w:val="1"/>
          <w:bCs w:val="1"/>
          <w:rtl w:val="0"/>
        </w:rPr>
        <w:t xml:space="preserve">El Costo del Razonamiento:</w:t>
      </w:r>
      <w:r w:rsidDel="00000000" w:rsidR="00000000" w:rsidRPr="00000000">
        <w:rPr>
          <w:rtl w:val="0"/>
        </w:rPr>
        <w:t xml:space="preserve">  La densidad de conversación de  </w:t>
      </w:r>
      <w:r w:rsidDel="00000000" w:rsidR="00000000" w:rsidRPr="00000000">
        <w:rPr>
          <w:b w:val="1"/>
          <w:bCs w:val="1"/>
          <w:rtl w:val="0"/>
        </w:rPr>
        <w:t xml:space="preserve">AutoGen</w:t>
      </w:r>
      <w:r w:rsidDel="00000000" w:rsidR="00000000" w:rsidRPr="00000000">
        <w:rPr>
          <w:rtl w:val="0"/>
        </w:rPr>
        <w:t xml:space="preserve">  genera un consumo de  </w:t>
      </w:r>
      <w:r w:rsidDel="00000000" w:rsidR="00000000" w:rsidRPr="00000000">
        <w:rPr>
          <w:b w:val="1"/>
          <w:bCs w:val="1"/>
          <w:rtl w:val="0"/>
        </w:rPr>
        <w:t xml:space="preserve">56,700 tokens</w:t>
      </w:r>
      <w:r w:rsidDel="00000000" w:rsidR="00000000" w:rsidRPr="00000000">
        <w:rPr>
          <w:rtl w:val="0"/>
        </w:rPr>
        <w:t xml:space="preserve">  por tarea, comparado con los  </w:t>
      </w:r>
      <w:r w:rsidDel="00000000" w:rsidR="00000000" w:rsidRPr="00000000">
        <w:rPr>
          <w:b w:val="1"/>
          <w:bCs w:val="1"/>
          <w:rtl w:val="0"/>
        </w:rPr>
        <w:t xml:space="preserve">13,500 tokens</w:t>
      </w:r>
      <w:r w:rsidDel="00000000" w:rsidR="00000000" w:rsidRPr="00000000">
        <w:rPr>
          <w:rtl w:val="0"/>
        </w:rPr>
        <w:t xml:space="preserve">  de  </w:t>
      </w:r>
      <w:r w:rsidDel="00000000" w:rsidR="00000000" w:rsidRPr="00000000">
        <w:rPr>
          <w:b w:val="1"/>
          <w:bCs w:val="1"/>
          <w:rtl w:val="0"/>
        </w:rPr>
        <w:t xml:space="preserve">LangGraph</w:t>
      </w:r>
      <w:r w:rsidDel="00000000" w:rsidR="00000000" w:rsidRPr="00000000">
        <w:rPr>
          <w:rtl w:val="0"/>
        </w:rPr>
        <w:t xml:space="preserve"> . Para una escala de 100k tareas mensuales, esta ineficiencia representa un sobrecosto de  </w:t>
      </w:r>
      <w:r w:rsidDel="00000000" w:rsidR="00000000" w:rsidRPr="00000000">
        <w:rPr>
          <w:b w:val="1"/>
          <w:bCs w:val="1"/>
          <w:rtl w:val="0"/>
        </w:rPr>
        <w:t xml:space="preserve">$4,000 a $6,000 USD mensuales</w:t>
      </w:r>
      <w:r w:rsidDel="00000000" w:rsidR="00000000" w:rsidRPr="00000000">
        <w:rPr>
          <w:rtl w:val="0"/>
        </w:rPr>
        <w:t xml:space="preserve"> . Mejores modelos requieren una orquestación más delgada para evitar la insolvencia técnica.</w:t>
      </w:r>
    </w:p>
    <w:p w:rsidR="00000000" w:rsidDel="00000000" w:rsidP="00000000" w:rsidRDefault="00000000" w:rsidRPr="00000000" w14:paraId="0000000F">
      <w:pPr>
        <w:pStyle w:val="Heading4"/>
        <w:rPr/>
      </w:pPr>
      <w:bookmarkStart w:colFirst="0" w:colLast="0" w:name="_2le8fq94l7h9" w:id="4"/>
      <w:bookmarkEnd w:id="4"/>
      <w:r w:rsidDel="00000000" w:rsidR="00000000" w:rsidRPr="00000000">
        <w:rPr>
          <w:rtl w:val="0"/>
        </w:rPr>
        <w:t xml:space="preserve">4. Rendimiento en Producción: Benchmarking y Teleología Sintética</w:t>
      </w:r>
    </w:p>
    <w:p w:rsidR="00000000" w:rsidDel="00000000" w:rsidP="00000000" w:rsidRDefault="00000000" w:rsidRPr="00000000" w14:paraId="00000010">
      <w:pPr>
        <w:rPr/>
      </w:pPr>
      <w:r w:rsidDel="00000000" w:rsidR="00000000" w:rsidRPr="00000000">
        <w:rPr>
          <w:rtl w:val="0"/>
        </w:rPr>
        <w:t xml:space="preserve">Para movernos de "demos" a sistemas que resistan el mundo real, debemos superar los desafíos identificados en el benchmark  </w:t>
      </w:r>
      <w:r w:rsidDel="00000000" w:rsidR="00000000" w:rsidRPr="00000000">
        <w:rPr>
          <w:b w:val="1"/>
          <w:bCs w:val="1"/>
          <w:rtl w:val="0"/>
        </w:rPr>
        <w:t xml:space="preserve">MobileWorld</w:t>
      </w:r>
      <w:r w:rsidDel="00000000" w:rsidR="00000000" w:rsidRPr="00000000">
        <w:rPr>
          <w:rtl w:val="0"/>
        </w:rPr>
        <w:t xml:space="preserve"> :</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Detección de Ambigüedad:</w:t>
      </w:r>
      <w:r w:rsidDel="00000000" w:rsidR="00000000" w:rsidRPr="00000000">
        <w:rPr>
          <w:rtl w:val="0"/>
        </w:rPr>
        <w:t xml:space="preserve">  El agente debe detenerse y preguntar al usuario en lugar de alucinar el "hometown" del usuario.</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Gestión de MCP:</w:t>
      </w:r>
      <w:r w:rsidDel="00000000" w:rsidR="00000000" w:rsidRPr="00000000">
        <w:rPr>
          <w:rtl w:val="0"/>
        </w:rPr>
        <w:t xml:space="preserve">  Integrar herramientas externas sin desbordar el contexto con respuestas masivas.</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Memoria a Largo Plazo:</w:t>
      </w:r>
      <w:r w:rsidDel="00000000" w:rsidR="00000000" w:rsidRPr="00000000">
        <w:rPr>
          <w:rtl w:val="0"/>
        </w:rPr>
        <w:t xml:space="preserve">  Mantener el estado a través de flujos multietapa sin "olvidar" sub-tareas completadas.</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Razonamiento Lógico:</w:t>
      </w:r>
      <w:r w:rsidDel="00000000" w:rsidR="00000000" w:rsidRPr="00000000">
        <w:rPr>
          <w:rtl w:val="0"/>
        </w:rPr>
        <w:t xml:space="preserve">  Precisión en cálculos aritméticos y deducciones estructuradas.</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Contexto Espacio-Temporal:</w:t>
      </w:r>
      <w:r w:rsidDel="00000000" w:rsidR="00000000" w:rsidRPr="00000000">
        <w:rPr>
          <w:rtl w:val="0"/>
        </w:rPr>
        <w:t xml:space="preserve">  Conciencia real de la hora y ubicación del dispositivo.</w:t>
      </w:r>
      <w:r w:rsidDel="00000000" w:rsidR="00000000" w:rsidRPr="00000000">
        <w:rPr>
          <w:b w:val="1"/>
          <w:bCs w:val="1"/>
          <w:rtl w:val="0"/>
        </w:rPr>
        <w:t xml:space="preserve">La Ecuación de la Teleología Sintética:</w:t>
      </w:r>
      <w:r w:rsidDel="00000000" w:rsidR="00000000" w:rsidRPr="00000000">
        <w:rPr>
          <w:rtl w:val="0"/>
        </w:rPr>
        <w:t xml:space="preserve">  La frontera final es que el sistema revise sus propios objetivos mediante la ecuación:  $$G_{t+1} = f(G_t, S_t, \Delta, E_t)$$Aquí, el término  </w:t>
      </w:r>
      <w:r w:rsidDel="00000000" w:rsidR="00000000" w:rsidRPr="00000000">
        <w:rPr>
          <w:b w:val="1"/>
          <w:bCs w:val="1"/>
          <w:rtl w:val="0"/>
        </w:rPr>
        <w:t xml:space="preserve">$\Delta</w:t>
      </w:r>
      <w:r w:rsidDel="00000000" w:rsidR="00000000" w:rsidRPr="00000000">
        <w:rPr>
          <w:rtl w:val="0"/>
        </w:rPr>
        <w:t xml:space="preserve">$  </w:t>
      </w:r>
      <w:r w:rsidDel="00000000" w:rsidR="00000000" w:rsidRPr="00000000">
        <w:rPr>
          <w:b w:val="1"/>
          <w:bCs w:val="1"/>
          <w:rtl w:val="0"/>
        </w:rPr>
        <w:t xml:space="preserve">(señal de evaluación)</w:t>
      </w:r>
      <w:r w:rsidDel="00000000" w:rsidR="00000000" w:rsidRPr="00000000">
        <w:rPr>
          <w:rtl w:val="0"/>
        </w:rPr>
        <w:t xml:space="preserve">  es el diferenciador crítico. No es un simple bucle de Python; representa la "autoconciencia" del agente sobre la discrepancia entre el objetivo y el resultado. Un sistema sin  $\Delta$  es simple automatización; un sistema con  $\Delta$  posee  </w:t>
      </w:r>
      <w:r w:rsidDel="00000000" w:rsidR="00000000" w:rsidRPr="00000000">
        <w:rPr>
          <w:b w:val="1"/>
          <w:bCs w:val="1"/>
          <w:rtl w:val="0"/>
        </w:rPr>
        <w:t xml:space="preserve">propósito sintético</w:t>
      </w:r>
      <w:r w:rsidDel="00000000" w:rsidR="00000000" w:rsidRPr="00000000">
        <w:rPr>
          <w:rtl w:val="0"/>
        </w:rPr>
        <w:t xml:space="preserve"> , capaz de re-evaluar su intención ante retroalimentación ambiental.</w:t>
      </w:r>
    </w:p>
    <w:p w:rsidR="00000000" w:rsidDel="00000000" w:rsidP="00000000" w:rsidRDefault="00000000" w:rsidRPr="00000000" w14:paraId="00000016">
      <w:pPr>
        <w:pStyle w:val="Heading4"/>
        <w:rPr/>
      </w:pPr>
      <w:bookmarkStart w:colFirst="0" w:colLast="0" w:name="_jzh3hgwya6zi" w:id="5"/>
      <w:bookmarkEnd w:id="5"/>
      <w:r w:rsidDel="00000000" w:rsidR="00000000" w:rsidRPr="00000000">
        <w:rPr>
          <w:rtl w:val="0"/>
        </w:rPr>
        <w:t xml:space="preserve">5. El Ecosistema Operativo: Observabilidad, MCP y Control Humano</w:t>
      </w:r>
    </w:p>
    <w:p w:rsidR="00000000" w:rsidDel="00000000" w:rsidP="00000000" w:rsidRDefault="00000000" w:rsidRPr="00000000" w14:paraId="00000017">
      <w:pPr>
        <w:rPr/>
      </w:pPr>
      <w:r w:rsidDel="00000000" w:rsidR="00000000" w:rsidRPr="00000000">
        <w:rPr>
          <w:rtl w:val="0"/>
        </w:rPr>
        <w:t xml:space="preserve">El 89% de los proyectos de escalado fracasan por ignorar la capa de integración. La observabilidad no es opcional; herramientas como  </w:t>
      </w:r>
      <w:r w:rsidDel="00000000" w:rsidR="00000000" w:rsidRPr="00000000">
        <w:rPr>
          <w:b w:val="1"/>
          <w:bCs w:val="1"/>
          <w:rtl w:val="0"/>
        </w:rPr>
        <w:t xml:space="preserve">LangSmith</w:t>
      </w:r>
      <w:r w:rsidDel="00000000" w:rsidR="00000000" w:rsidRPr="00000000">
        <w:rPr>
          <w:rtl w:val="0"/>
        </w:rPr>
        <w:t xml:space="preserve">  u  </w:t>
      </w:r>
      <w:r w:rsidDel="00000000" w:rsidR="00000000" w:rsidRPr="00000000">
        <w:rPr>
          <w:b w:val="1"/>
          <w:bCs w:val="1"/>
          <w:rtl w:val="0"/>
        </w:rPr>
        <w:t xml:space="preserve">Opik</w:t>
      </w:r>
      <w:r w:rsidDel="00000000" w:rsidR="00000000" w:rsidRPr="00000000">
        <w:rPr>
          <w:rtl w:val="0"/>
        </w:rPr>
        <w:t xml:space="preserve">  son necesarias para desentrañar la "caja negra" del razonamiento jerárquico.El  </w:t>
      </w:r>
      <w:r w:rsidDel="00000000" w:rsidR="00000000" w:rsidRPr="00000000">
        <w:rPr>
          <w:b w:val="1"/>
          <w:bCs w:val="1"/>
          <w:rtl w:val="0"/>
        </w:rPr>
        <w:t xml:space="preserve">Model Context Protocol (MCP)</w:t>
      </w:r>
      <w:r w:rsidDel="00000000" w:rsidR="00000000" w:rsidRPr="00000000">
        <w:rPr>
          <w:rtl w:val="0"/>
        </w:rPr>
        <w:t xml:space="preserve">  actúa como la interfaz estandarizada que protege al agente del "ruido de interfaz" (UI noise), permitiéndole interactuar con bases de datos y herramientas de forma estructurada, reduciendo el riesgo de desbordamiento de contexto identificado en MobileWorld.</w:t>
      </w:r>
      <w:r w:rsidDel="00000000" w:rsidR="00000000" w:rsidRPr="00000000">
        <w:rPr>
          <w:b w:val="1"/>
          <w:bCs w:val="1"/>
          <w:rtl w:val="0"/>
        </w:rPr>
        <w:t xml:space="preserve">Análisis de Riesgo:</w:t>
      </w:r>
      <w:r w:rsidDel="00000000" w:rsidR="00000000" w:rsidRPr="00000000">
        <w:rPr>
          <w:rtl w:val="0"/>
        </w:rPr>
        <w:t xml:space="preserve">  En dominios de fintech o salud, el patrón de  </w:t>
      </w:r>
      <w:r w:rsidDel="00000000" w:rsidR="00000000" w:rsidRPr="00000000">
        <w:rPr>
          <w:b w:val="1"/>
          <w:bCs w:val="1"/>
          <w:rtl w:val="0"/>
        </w:rPr>
        <w:t xml:space="preserve">"Pausa y Reanudación" (Human-in-the-loop)</w:t>
      </w:r>
      <w:r w:rsidDel="00000000" w:rsidR="00000000" w:rsidRPr="00000000">
        <w:rPr>
          <w:rtl w:val="0"/>
        </w:rPr>
        <w:t xml:space="preserve">  es vital. Permitir que un humano edite el estado del grafo antes de una acción crítica es la única forma segura de desplegar autonomía hoy.</w:t>
      </w:r>
    </w:p>
    <w:p w:rsidR="00000000" w:rsidDel="00000000" w:rsidP="00000000" w:rsidRDefault="00000000" w:rsidRPr="00000000" w14:paraId="00000018">
      <w:pPr>
        <w:pStyle w:val="Heading4"/>
        <w:rPr/>
      </w:pPr>
      <w:bookmarkStart w:colFirst="0" w:colLast="0" w:name="_cne2cr4twzpl" w:id="6"/>
      <w:bookmarkEnd w:id="6"/>
      <w:r w:rsidDel="00000000" w:rsidR="00000000" w:rsidRPr="00000000">
        <w:rPr>
          <w:rtl w:val="0"/>
        </w:rPr>
        <w:t xml:space="preserve">6. Matriz de Decisión Estratégica para Líderes Técnicos</w:t>
      </w:r>
    </w:p>
    <w:p w:rsidR="00000000" w:rsidDel="00000000" w:rsidP="00000000" w:rsidRDefault="00000000" w:rsidRPr="00000000" w14:paraId="00000019">
      <w:pPr>
        <w:rPr/>
      </w:pPr>
      <w:r w:rsidDel="00000000" w:rsidR="00000000" w:rsidRPr="00000000">
        <w:rPr>
          <w:rtl w:val="0"/>
        </w:rPr>
        <w:t xml:space="preserve">Elija basándose en sus restricciones, no en la novedad:</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Si</w:t>
      </w:r>
      <w:r w:rsidDel="00000000" w:rsidR="00000000" w:rsidRPr="00000000">
        <w:rPr>
          <w:rtl w:val="0"/>
        </w:rPr>
        <w:t xml:space="preserve">  necesita control estricto, auditoría y flujos cíclicos -&gt;  </w:t>
      </w:r>
      <w:r w:rsidDel="00000000" w:rsidR="00000000" w:rsidRPr="00000000">
        <w:rPr>
          <w:b w:val="1"/>
          <w:bCs w:val="1"/>
          <w:rtl w:val="0"/>
        </w:rPr>
        <w:t xml:space="preserve">LangGraph</w:t>
      </w:r>
      <w:r w:rsidDel="00000000" w:rsidR="00000000" w:rsidRPr="00000000">
        <w:rPr>
          <w:rtl w:val="0"/>
        </w:rPr>
        <w:t xml:space="preserve"> .</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Si</w:t>
      </w:r>
      <w:r w:rsidDel="00000000" w:rsidR="00000000" w:rsidRPr="00000000">
        <w:rPr>
          <w:rtl w:val="0"/>
        </w:rPr>
        <w:t xml:space="preserve">  busca rapidez, roles definidos y bajo consumo de tokens -&gt;  </w:t>
      </w:r>
      <w:r w:rsidDel="00000000" w:rsidR="00000000" w:rsidRPr="00000000">
        <w:rPr>
          <w:b w:val="1"/>
          <w:bCs w:val="1"/>
          <w:rtl w:val="0"/>
        </w:rPr>
        <w:t xml:space="preserve">CrewAI</w:t>
      </w:r>
      <w:r w:rsidDel="00000000" w:rsidR="00000000" w:rsidRPr="00000000">
        <w:rPr>
          <w:rtl w:val="0"/>
        </w:rPr>
        <w:t xml:space="preserve"> .</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Si</w:t>
      </w:r>
      <w:r w:rsidDel="00000000" w:rsidR="00000000" w:rsidRPr="00000000">
        <w:rPr>
          <w:rtl w:val="0"/>
        </w:rPr>
        <w:t xml:space="preserve">  el problema requiere debate profundo y el costo es secundario -&gt;  </w:t>
      </w:r>
      <w:r w:rsidDel="00000000" w:rsidR="00000000" w:rsidRPr="00000000">
        <w:rPr>
          <w:b w:val="1"/>
          <w:bCs w:val="1"/>
          <w:rtl w:val="0"/>
        </w:rPr>
        <w:t xml:space="preserve">AutoGen</w:t>
      </w:r>
      <w:r w:rsidDel="00000000" w:rsidR="00000000" w:rsidRPr="00000000">
        <w:rPr>
          <w:rtl w:val="0"/>
        </w:rPr>
        <w:t xml:space="preserve"> .</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Si</w:t>
      </w:r>
      <w:r w:rsidDel="00000000" w:rsidR="00000000" w:rsidRPr="00000000">
        <w:rPr>
          <w:rtl w:val="0"/>
        </w:rPr>
        <w:t xml:space="preserve">  el sistema maneja grandes volúmenes de documentos técnicos -&gt;  </w:t>
      </w:r>
      <w:r w:rsidDel="00000000" w:rsidR="00000000" w:rsidRPr="00000000">
        <w:rPr>
          <w:b w:val="1"/>
          <w:bCs w:val="1"/>
          <w:rtl w:val="0"/>
        </w:rPr>
        <w:t xml:space="preserve">LlamaIndex</w:t>
      </w:r>
      <w:r w:rsidDel="00000000" w:rsidR="00000000" w:rsidRPr="00000000">
        <w:rPr>
          <w:rtl w:val="0"/>
        </w:rPr>
        <w:t xml:space="preserve"> .</w:t>
      </w:r>
      <w:r w:rsidDel="00000000" w:rsidR="00000000" w:rsidRPr="00000000">
        <w:rPr>
          <w:b w:val="1"/>
          <w:bCs w:val="1"/>
          <w:rtl w:val="0"/>
        </w:rPr>
        <w:t xml:space="preserve">Recomendación de Arquitectura Híbrida:</w:t>
      </w:r>
      <w:r w:rsidDel="00000000" w:rsidR="00000000" w:rsidRPr="00000000">
        <w:rPr>
          <w:rtl w:val="0"/>
        </w:rPr>
        <w:t xml:space="preserve">  El futuro pertenece a los sistemas jerárquicos donde los nodos superiores utilizan  </w:t>
      </w:r>
      <w:r w:rsidDel="00000000" w:rsidR="00000000" w:rsidRPr="00000000">
        <w:rPr>
          <w:b w:val="1"/>
          <w:bCs w:val="1"/>
          <w:rtl w:val="0"/>
        </w:rPr>
        <w:t xml:space="preserve">LangGraph</w:t>
      </w:r>
      <w:r w:rsidDel="00000000" w:rsidR="00000000" w:rsidRPr="00000000">
        <w:rPr>
          <w:rtl w:val="0"/>
        </w:rPr>
        <w:t xml:space="preserve">  para garantizar el cumplimiento normativo y el control de estado, mientras que los nodos inferiores (ejecutores) utilizan  </w:t>
      </w:r>
      <w:r w:rsidDel="00000000" w:rsidR="00000000" w:rsidRPr="00000000">
        <w:rPr>
          <w:b w:val="1"/>
          <w:bCs w:val="1"/>
          <w:rtl w:val="0"/>
        </w:rPr>
        <w:t xml:space="preserve">Swarms</w:t>
      </w:r>
      <w:r w:rsidDel="00000000" w:rsidR="00000000" w:rsidRPr="00000000">
        <w:rPr>
          <w:rtl w:val="0"/>
        </w:rPr>
        <w:t xml:space="preserve">  o equipos de  </w:t>
      </w:r>
      <w:r w:rsidDel="00000000" w:rsidR="00000000" w:rsidRPr="00000000">
        <w:rPr>
          <w:b w:val="1"/>
          <w:bCs w:val="1"/>
          <w:rtl w:val="0"/>
        </w:rPr>
        <w:t xml:space="preserve">CrewAI</w:t>
      </w:r>
      <w:r w:rsidDel="00000000" w:rsidR="00000000" w:rsidRPr="00000000">
        <w:rPr>
          <w:rtl w:val="0"/>
        </w:rPr>
        <w:t xml:space="preserve">  para la exploración y ejecución rápida.Como arquitectos, nuestra misión es trascender la creación de herramientas aisladas para construir el  </w:t>
      </w:r>
      <w:r w:rsidDel="00000000" w:rsidR="00000000" w:rsidRPr="00000000">
        <w:rPr>
          <w:b w:val="1"/>
          <w:bCs w:val="1"/>
          <w:rtl w:val="0"/>
        </w:rPr>
        <w:t xml:space="preserve">"Metacognitive Commons"</w:t>
      </w:r>
      <w:r w:rsidDel="00000000" w:rsidR="00000000" w:rsidRPr="00000000">
        <w:rPr>
          <w:rtl w:val="0"/>
        </w:rPr>
        <w:t xml:space="preserve"> : una infraestructura cognitiva compartida donde la autonomía sintética y la supervisión humana coexistan en una ecología de significados alineados. Es nuestra responsabilidad institucional asegurar que esta infraestructura sea resiliente, ética y económicamente sostenible.</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