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9tzp9tylpx5t" w:id="0"/>
      <w:bookmarkEnd w:id="0"/>
      <w:r w:rsidDel="00000000" w:rsidR="00000000" w:rsidRPr="00000000">
        <w:rPr>
          <w:rtl w:val="0"/>
        </w:rPr>
        <w:t xml:space="preserve">Guía de Conceptos: Modelos de Coordinación Multi-Agente</w:t>
      </w:r>
    </w:p>
    <w:p w:rsidR="00000000" w:rsidDel="00000000" w:rsidP="00000000" w:rsidRDefault="00000000" w:rsidRPr="00000000" w14:paraId="00000002">
      <w:pPr>
        <w:pStyle w:val="Heading4"/>
        <w:rPr/>
      </w:pPr>
      <w:bookmarkStart w:colFirst="0" w:colLast="0" w:name="_249oedfridq2" w:id="1"/>
      <w:bookmarkEnd w:id="1"/>
      <w:r w:rsidDel="00000000" w:rsidR="00000000" w:rsidRPr="00000000">
        <w:rPr>
          <w:rtl w:val="0"/>
        </w:rPr>
        <w:t xml:space="preserve">1. Introducción: El Fin del "Prompt de Dios" y el Surgimiento de la Inteligencia Colaborativa</w:t>
      </w:r>
    </w:p>
    <w:p w:rsidR="00000000" w:rsidDel="00000000" w:rsidP="00000000" w:rsidRDefault="00000000" w:rsidRPr="00000000" w14:paraId="00000003">
      <w:pPr>
        <w:rPr/>
      </w:pPr>
      <w:r w:rsidDel="00000000" w:rsidR="00000000" w:rsidRPr="00000000">
        <w:rPr>
          <w:rtl w:val="0"/>
        </w:rPr>
        <w:t xml:space="preserve">La industria de la Inteligencia Artificial está superando la era de los modelos monolíticos para abrazar los  </w:t>
      </w:r>
      <w:r w:rsidDel="00000000" w:rsidR="00000000" w:rsidRPr="00000000">
        <w:rPr>
          <w:b w:val="1"/>
          <w:bCs w:val="1"/>
          <w:rtl w:val="0"/>
        </w:rPr>
        <w:t xml:space="preserve">Sistemas Multi-Agente (MAS)</w:t>
      </w:r>
      <w:r w:rsidDel="00000000" w:rsidR="00000000" w:rsidRPr="00000000">
        <w:rPr>
          <w:rtl w:val="0"/>
        </w:rPr>
        <w:t xml:space="preserve"> . Durante los últimos años, el paradigma dominante fue el "Prompt de Dios": instrucciones masivas diseñadas para que un único modelo actuara simultáneamente como estratega, ejecutor y auditor. Sin embargo, la evidencia técnica es contundente: el fenómeno  </w:t>
      </w:r>
      <w:r w:rsidDel="00000000" w:rsidR="00000000" w:rsidRPr="00000000">
        <w:rPr>
          <w:b w:val="1"/>
          <w:bCs w:val="1"/>
          <w:rtl w:val="0"/>
        </w:rPr>
        <w:t xml:space="preserve">"Lost in the Middle"</w:t>
      </w:r>
      <w:r w:rsidDel="00000000" w:rsidR="00000000" w:rsidRPr="00000000">
        <w:rPr>
          <w:rtl w:val="0"/>
        </w:rPr>
        <w:t xml:space="preserve">  (pérdida de información en el centro del contexto) provoca que la precisión en tareas de razonamiento caiga hasta un  </w:t>
      </w:r>
      <w:r w:rsidDel="00000000" w:rsidR="00000000" w:rsidRPr="00000000">
        <w:rPr>
          <w:b w:val="1"/>
          <w:bCs w:val="1"/>
          <w:rtl w:val="0"/>
        </w:rPr>
        <w:t xml:space="preserve">73%</w:t>
      </w:r>
      <w:r w:rsidDel="00000000" w:rsidR="00000000" w:rsidRPr="00000000">
        <w:rPr>
          <w:rtl w:val="0"/>
        </w:rPr>
        <w:t xml:space="preserve">  cuando la información crítica se diluye en contextos extensos.Gartner proyecta que para 2026, el  </w:t>
      </w:r>
      <w:r w:rsidDel="00000000" w:rsidR="00000000" w:rsidRPr="00000000">
        <w:rPr>
          <w:b w:val="1"/>
          <w:bCs w:val="1"/>
          <w:rtl w:val="0"/>
        </w:rPr>
        <w:t xml:space="preserve">40% de las aplicaciones empresariales</w:t>
      </w:r>
      <w:r w:rsidDel="00000000" w:rsidR="00000000" w:rsidRPr="00000000">
        <w:rPr>
          <w:rtl w:val="0"/>
        </w:rPr>
        <w:t xml:space="preserve">  serán agentes especializados. Esta transición no es solo una tendencia, sino una necesidad arquitectónica para lograr:</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Manejo de contexto segmentado:</w:t>
      </w:r>
      <w:r w:rsidDel="00000000" w:rsidR="00000000" w:rsidRPr="00000000">
        <w:rPr>
          <w:rtl w:val="0"/>
        </w:rPr>
        <w:t xml:space="preserve">  Al distribuir la carga, cada agente opera con información específica, eliminando el ruido y la saturación del modelo.</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Colaboración adversarial:</w:t>
      </w:r>
      <w:r w:rsidDel="00000000" w:rsidR="00000000" w:rsidRPr="00000000">
        <w:rPr>
          <w:rtl w:val="0"/>
        </w:rPr>
        <w:t xml:space="preserve">  La implementación de debates entre agentes mejora la precisión factual en un  </w:t>
      </w:r>
      <w:r w:rsidDel="00000000" w:rsidR="00000000" w:rsidRPr="00000000">
        <w:rPr>
          <w:b w:val="1"/>
          <w:bCs w:val="1"/>
          <w:rtl w:val="0"/>
        </w:rPr>
        <w:t xml:space="preserve">23%</w:t>
      </w:r>
      <w:r w:rsidDel="00000000" w:rsidR="00000000" w:rsidRPr="00000000">
        <w:rPr>
          <w:rtl w:val="0"/>
        </w:rPr>
        <w:t xml:space="preserve"> , permitiendo que un "crítico" detecte alucinaciones del "generador".</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Escalabilidad modular:</w:t>
      </w:r>
      <w:r w:rsidDel="00000000" w:rsidR="00000000" w:rsidRPr="00000000">
        <w:rPr>
          <w:rtl w:val="0"/>
        </w:rPr>
        <w:t xml:space="preserve">  Permite añadir nuevas capacidades especializadas sin comprometer ni reescribir la lógica del sistema completo.El éxito de estas arquitecturas depende críticamente de su  </w:t>
      </w:r>
      <w:r w:rsidDel="00000000" w:rsidR="00000000" w:rsidRPr="00000000">
        <w:rPr>
          <w:b w:val="1"/>
          <w:bCs w:val="1"/>
          <w:rtl w:val="0"/>
        </w:rPr>
        <w:t xml:space="preserve">patrón de coordinación</w:t>
      </w:r>
      <w:r w:rsidDel="00000000" w:rsidR="00000000" w:rsidRPr="00000000">
        <w:rPr>
          <w:rtl w:val="0"/>
        </w:rPr>
        <w:t xml:space="preserve"> , el protocolo que define cómo se orquestan estas inteligencias distribuidas.</w:t>
      </w:r>
    </w:p>
    <w:p w:rsidR="00000000" w:rsidDel="00000000" w:rsidP="00000000" w:rsidRDefault="00000000" w:rsidRPr="00000000" w14:paraId="00000007">
      <w:pPr>
        <w:pStyle w:val="Heading4"/>
        <w:rPr/>
      </w:pPr>
      <w:bookmarkStart w:colFirst="0" w:colLast="0" w:name="_rzqd1viswr4l" w:id="2"/>
      <w:bookmarkEnd w:id="2"/>
      <w:r w:rsidDel="00000000" w:rsidR="00000000" w:rsidRPr="00000000">
        <w:rPr>
          <w:rtl w:val="0"/>
        </w:rPr>
        <w:t xml:space="preserve">2. Patrón Orquestador-Trabajador (Orchestrator-Worker): Control Centralizado</w:t>
      </w:r>
    </w:p>
    <w:p w:rsidR="00000000" w:rsidDel="00000000" w:rsidP="00000000" w:rsidRDefault="00000000" w:rsidRPr="00000000" w14:paraId="00000008">
      <w:pPr>
        <w:rPr>
          <w:b w:val="1"/>
          <w:bCs w:val="1"/>
        </w:rPr>
      </w:pPr>
      <w:r w:rsidDel="00000000" w:rsidR="00000000" w:rsidRPr="00000000">
        <w:rPr>
          <w:rtl w:val="0"/>
        </w:rPr>
        <w:t xml:space="preserve">Basado en la analogía del  </w:t>
      </w:r>
      <w:r w:rsidDel="00000000" w:rsidR="00000000" w:rsidRPr="00000000">
        <w:rPr>
          <w:b w:val="1"/>
          <w:bCs w:val="1"/>
          <w:rtl w:val="0"/>
        </w:rPr>
        <w:t xml:space="preserve">Gerente de Proyecto</w:t>
      </w:r>
      <w:r w:rsidDel="00000000" w:rsidR="00000000" w:rsidRPr="00000000">
        <w:rPr>
          <w:rtl w:val="0"/>
        </w:rPr>
        <w:t xml:space="preserve">  o el modelo "Hub-and-Spoke", este patrón utiliza un agente central que descompone una tarea global en subtareas, las asigna a trabajadores especializados y agrega los resultados finales. Es el estándar de oro para la trazabilidad y el control determinista.Frameworks como  </w:t>
      </w:r>
      <w:r w:rsidDel="00000000" w:rsidR="00000000" w:rsidRPr="00000000">
        <w:rPr>
          <w:b w:val="1"/>
          <w:bCs w:val="1"/>
          <w:rtl w:val="0"/>
        </w:rPr>
        <w:t xml:space="preserve">LangGraph</w:t>
      </w:r>
      <w:r w:rsidDel="00000000" w:rsidR="00000000" w:rsidRPr="00000000">
        <w:rPr>
          <w:rtl w:val="0"/>
        </w:rPr>
        <w:t xml:space="preserve">  (mediante su patrón de supervisor) han demostrado ser altamente eficientes en este modelo. Por el contrario, aunque  </w:t>
      </w:r>
      <w:r w:rsidDel="00000000" w:rsidR="00000000" w:rsidRPr="00000000">
        <w:rPr>
          <w:b w:val="1"/>
          <w:bCs w:val="1"/>
          <w:rtl w:val="0"/>
        </w:rPr>
        <w:t xml:space="preserve">AutoGen</w:t>
      </w:r>
      <w:r w:rsidDel="00000000" w:rsidR="00000000" w:rsidRPr="00000000">
        <w:rPr>
          <w:rtl w:val="0"/>
        </w:rPr>
        <w:t xml:space="preserve">  permite implementaciones similares (selector de agentes), conlleva un costo operativo significativamente mayor. Datos de arquitectura revelan que AutoGen puede ser entre  </w:t>
      </w:r>
      <w:r w:rsidDel="00000000" w:rsidR="00000000" w:rsidRPr="00000000">
        <w:rPr>
          <w:b w:val="1"/>
          <w:bCs w:val="1"/>
          <w:rtl w:val="0"/>
        </w:rPr>
        <w:t xml:space="preserve">5 y 6 veces más costoso</w:t>
      </w:r>
      <w:r w:rsidDel="00000000" w:rsidR="00000000" w:rsidRPr="00000000">
        <w:rPr>
          <w:rtl w:val="0"/>
        </w:rPr>
        <w:t xml:space="preserve">  que LangGraph (ej. 56,700 tokens vs. 13,500 en una tarea de 4 agentes), lo que lo hace prohibitivo para despliegues de alto volumen sin una optimización extrema.</w:t>
      </w:r>
      <w:r w:rsidDel="00000000" w:rsidR="00000000" w:rsidRPr="00000000">
        <w:rPr>
          <w:b w:val="1"/>
          <w:bCs w:val="1"/>
          <w:rtl w:val="0"/>
        </w:rPr>
        <w:t xml:space="preserve">¿Cuándo usarlo?</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Sistemas de  </w:t>
      </w:r>
      <w:r w:rsidDel="00000000" w:rsidR="00000000" w:rsidRPr="00000000">
        <w:rPr>
          <w:b w:val="1"/>
          <w:bCs w:val="1"/>
          <w:rtl w:val="0"/>
        </w:rPr>
        <w:t xml:space="preserve">Atención al Cliente</w:t>
      </w:r>
      <w:r w:rsidDel="00000000" w:rsidR="00000000" w:rsidRPr="00000000">
        <w:rPr>
          <w:rtl w:val="0"/>
        </w:rPr>
        <w:t xml:space="preserve">  donde la clasificación inicial (billing, tech, sales) es crítica.</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Procesamiento de Documentos</w:t>
      </w:r>
      <w:r w:rsidDel="00000000" w:rsidR="00000000" w:rsidRPr="00000000">
        <w:rPr>
          <w:rtl w:val="0"/>
        </w:rPr>
        <w:t xml:space="preserve">  con reglas de negocio rígidas y necesidad de auditoría.</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Flujos de  </w:t>
      </w:r>
      <w:r w:rsidDel="00000000" w:rsidR="00000000" w:rsidRPr="00000000">
        <w:rPr>
          <w:b w:val="1"/>
          <w:bCs w:val="1"/>
          <w:rtl w:val="0"/>
        </w:rPr>
        <w:t xml:space="preserve">Generación de Código</w:t>
      </w:r>
      <w:r w:rsidDel="00000000" w:rsidR="00000000" w:rsidRPr="00000000">
        <w:rPr>
          <w:rtl w:val="0"/>
        </w:rPr>
        <w:t xml:space="preserve">  donde un planificador central debe validar cada módulo.</w:t>
      </w:r>
      <w:r w:rsidDel="00000000" w:rsidR="00000000" w:rsidRPr="00000000">
        <w:rPr>
          <w:b w:val="1"/>
          <w:bCs w:val="1"/>
          <w:rtl w:val="0"/>
        </w:rPr>
        <w:t xml:space="preserve">Riesgos:</w:t>
      </w:r>
      <w:r w:rsidDel="00000000" w:rsidR="00000000" w:rsidRPr="00000000">
        <w:rPr>
          <w:rtl w:val="0"/>
        </w:rPr>
        <w:t xml:space="preserve">  Representa un  </w:t>
      </w:r>
      <w:r w:rsidDel="00000000" w:rsidR="00000000" w:rsidRPr="00000000">
        <w:rPr>
          <w:b w:val="1"/>
          <w:bCs w:val="1"/>
          <w:rtl w:val="0"/>
        </w:rPr>
        <w:t xml:space="preserve">punto único de falla</w:t>
      </w:r>
      <w:r w:rsidDel="00000000" w:rsidR="00000000" w:rsidRPr="00000000">
        <w:rPr>
          <w:rtl w:val="0"/>
        </w:rPr>
        <w:t xml:space="preserve"> ; si el orquestador alucina en la fase de planeación, el error se propaga. Además, el orquestador sufre un cuello de botella de contexto al intentar procesar las respuestas de todos los trabajadores simultáneamente.</w:t>
      </w:r>
    </w:p>
    <w:p w:rsidR="00000000" w:rsidDel="00000000" w:rsidP="00000000" w:rsidRDefault="00000000" w:rsidRPr="00000000" w14:paraId="0000000C">
      <w:pPr>
        <w:pStyle w:val="Heading4"/>
        <w:rPr/>
      </w:pPr>
      <w:bookmarkStart w:colFirst="0" w:colLast="0" w:name="_gifg9uu6x3kf" w:id="3"/>
      <w:bookmarkEnd w:id="3"/>
      <w:r w:rsidDel="00000000" w:rsidR="00000000" w:rsidRPr="00000000">
        <w:rPr>
          <w:rtl w:val="0"/>
        </w:rPr>
        <w:t xml:space="preserve">3. Patrón de Enjambre (Swarm): Coordinación Emergente</w:t>
      </w:r>
    </w:p>
    <w:p w:rsidR="00000000" w:rsidDel="00000000" w:rsidP="00000000" w:rsidRDefault="00000000" w:rsidRPr="00000000" w14:paraId="0000000D">
      <w:pPr>
        <w:rPr/>
      </w:pPr>
      <w:r w:rsidDel="00000000" w:rsidR="00000000" w:rsidRPr="00000000">
        <w:rPr>
          <w:rtl w:val="0"/>
        </w:rPr>
        <w:t xml:space="preserve">Inspirado en la biología (colonias de hormigas), el modelo Swarm elimina el liderazgo central. Los agentes actúan como pares autónomos que toman decisiones locales basándose en una  </w:t>
      </w:r>
      <w:r w:rsidDel="00000000" w:rsidR="00000000" w:rsidRPr="00000000">
        <w:rPr>
          <w:b w:val="1"/>
          <w:bCs w:val="1"/>
          <w:rtl w:val="0"/>
        </w:rPr>
        <w:t xml:space="preserve">pizarra compartida (blackboard)</w:t>
      </w:r>
      <w:r w:rsidDel="00000000" w:rsidR="00000000" w:rsidRPr="00000000">
        <w:rPr>
          <w:rtl w:val="0"/>
        </w:rPr>
        <w:t xml:space="preserve">  y protocolos de  </w:t>
      </w:r>
      <w:r w:rsidDel="00000000" w:rsidR="00000000" w:rsidRPr="00000000">
        <w:rPr>
          <w:b w:val="1"/>
          <w:bCs w:val="1"/>
          <w:rtl w:val="0"/>
        </w:rPr>
        <w:t xml:space="preserve">traspaso (handoff)</w:t>
      </w:r>
      <w:r w:rsidDel="00000000" w:rsidR="00000000" w:rsidRPr="00000000">
        <w:rPr>
          <w:rtl w:val="0"/>
        </w:rPr>
        <w:t xml:space="preserve"> .</w:t>
      </w:r>
      <w:r w:rsidDel="00000000" w:rsidR="00000000" w:rsidRPr="00000000">
        <w:rPr>
          <w:b w:val="1"/>
          <w:bCs w:val="1"/>
          <w:rtl w:val="0"/>
        </w:rPr>
        <w:t xml:space="preserve">Definición: Coordinación Emergente.</w:t>
      </w:r>
      <w:r w:rsidDel="00000000" w:rsidR="00000000" w:rsidRPr="00000000">
        <w:rPr>
          <w:rtl w:val="0"/>
        </w:rPr>
        <w:t xml:space="preserve">  "Comportamiento global complejo que surge de agentes siguiendo reglas locales simples, donde la topología del sistema se define en tiempo de ejecución según la necesidad de la tarea."A diferencia de los modelos rígidos, un enjambre permite una exploración paralela masiva, ideal para inteligencia competitiva o investigación. Sin embargo, su mayor desafío es la  </w:t>
      </w:r>
      <w:r w:rsidDel="00000000" w:rsidR="00000000" w:rsidRPr="00000000">
        <w:rPr>
          <w:b w:val="1"/>
          <w:bCs w:val="1"/>
          <w:rtl w:val="0"/>
        </w:rPr>
        <w:t xml:space="preserve">Observabilidad</w:t>
      </w:r>
      <w:r w:rsidDel="00000000" w:rsidR="00000000" w:rsidRPr="00000000">
        <w:rPr>
          <w:rtl w:val="0"/>
        </w:rPr>
        <w:t xml:space="preserve"> . Para mitigar la dificultad de depuración en estos flujos fluidos, es imperativo implementar capas de trazabilidad como  </w:t>
      </w:r>
      <w:r w:rsidDel="00000000" w:rsidR="00000000" w:rsidRPr="00000000">
        <w:rPr>
          <w:b w:val="1"/>
          <w:bCs w:val="1"/>
          <w:rtl w:val="0"/>
        </w:rPr>
        <w:t xml:space="preserve">LangSmith</w:t>
      </w:r>
      <w:r w:rsidDel="00000000" w:rsidR="00000000" w:rsidRPr="00000000">
        <w:rPr>
          <w:rtl w:val="0"/>
        </w:rPr>
        <w:t xml:space="preserve">  u  </w:t>
      </w:r>
      <w:r w:rsidDel="00000000" w:rsidR="00000000" w:rsidRPr="00000000">
        <w:rPr>
          <w:b w:val="1"/>
          <w:bCs w:val="1"/>
          <w:rtl w:val="0"/>
        </w:rPr>
        <w:t xml:space="preserve">Opik</w:t>
      </w:r>
      <w:r w:rsidDel="00000000" w:rsidR="00000000" w:rsidRPr="00000000">
        <w:rPr>
          <w:rtl w:val="0"/>
        </w:rPr>
        <w:t xml:space="preserve"> , que permiten visualizar la cadena de handoffs y reconstruir el estado del sistema en caso de falla.</w:t>
      </w:r>
    </w:p>
    <w:p w:rsidR="00000000" w:rsidDel="00000000" w:rsidP="00000000" w:rsidRDefault="00000000" w:rsidRPr="00000000" w14:paraId="0000000E">
      <w:pPr>
        <w:pStyle w:val="Heading4"/>
        <w:rPr/>
      </w:pPr>
      <w:bookmarkStart w:colFirst="0" w:colLast="0" w:name="_6txgr45z6frk" w:id="4"/>
      <w:bookmarkEnd w:id="4"/>
      <w:r w:rsidDel="00000000" w:rsidR="00000000" w:rsidRPr="00000000">
        <w:rPr>
          <w:rtl w:val="0"/>
        </w:rPr>
        <w:t xml:space="preserve">4. Patrón de Malla (Mesh): Comunicación Directa entre Pares</w:t>
      </w:r>
    </w:p>
    <w:p w:rsidR="00000000" w:rsidDel="00000000" w:rsidP="00000000" w:rsidRDefault="00000000" w:rsidRPr="00000000" w14:paraId="0000000F">
      <w:pPr>
        <w:rPr/>
      </w:pPr>
      <w:r w:rsidDel="00000000" w:rsidR="00000000" w:rsidRPr="00000000">
        <w:rPr>
          <w:rtl w:val="0"/>
        </w:rPr>
        <w:t xml:space="preserve">Mientras que en el Swarm la comunicación es efímera y basada en la pizarra, el patrón  </w:t>
      </w:r>
      <w:r w:rsidDel="00000000" w:rsidR="00000000" w:rsidRPr="00000000">
        <w:rPr>
          <w:b w:val="1"/>
          <w:bCs w:val="1"/>
          <w:rtl w:val="0"/>
        </w:rPr>
        <w:t xml:space="preserve">Mesh</w:t>
      </w:r>
      <w:r w:rsidDel="00000000" w:rsidR="00000000" w:rsidRPr="00000000">
        <w:rPr>
          <w:rtl w:val="0"/>
        </w:rPr>
        <w:t xml:space="preserve">  establece conexiones explícitas y persistentes. Es la analogía de un  </w:t>
      </w:r>
      <w:r w:rsidDel="00000000" w:rsidR="00000000" w:rsidRPr="00000000">
        <w:rPr>
          <w:b w:val="1"/>
          <w:bCs w:val="1"/>
          <w:rtl w:val="0"/>
        </w:rPr>
        <w:t xml:space="preserve">equipo de desarrollo en una llamada grupal</w:t>
      </w:r>
      <w:r w:rsidDel="00000000" w:rsidR="00000000" w:rsidRPr="00000000">
        <w:rPr>
          <w:rtl w:val="0"/>
        </w:rPr>
        <w:t xml:space="preserve"> : cada agente sabe exactamente a quién contactar para una necesidad específica (ej. el programador sabe que siempre debe consultar al agente de base de datos).Este modelo es excepcional para ciclos de retroalimentación (Planificador -&gt; Programador -&gt; Probador). No obstante, el arquitecto debe vigilar la  </w:t>
      </w:r>
      <w:r w:rsidDel="00000000" w:rsidR="00000000" w:rsidRPr="00000000">
        <w:rPr>
          <w:b w:val="1"/>
          <w:bCs w:val="1"/>
          <w:rtl w:val="0"/>
        </w:rPr>
        <w:t xml:space="preserve">explosión combinatoria</w:t>
      </w:r>
      <w:r w:rsidDel="00000000" w:rsidR="00000000" w:rsidRPr="00000000">
        <w:rPr>
          <w:rtl w:val="0"/>
        </w:rPr>
        <w:t xml:space="preserve"> . La complejidad de las conexiones crece según la fórmula:  $$C = \frac{N(N-1)}{2}$$  Donde  $N$  es el número de agentes. Para evitar que el sistema colapse bajo el peso de su propia mensajería, se recomienda un límite de  </w:t>
      </w:r>
      <w:r w:rsidDel="00000000" w:rsidR="00000000" w:rsidRPr="00000000">
        <w:rPr>
          <w:b w:val="1"/>
          <w:bCs w:val="1"/>
          <w:rtl w:val="0"/>
        </w:rPr>
        <w:t xml:space="preserve">3 a 8 agentes</w:t>
      </w:r>
      <w:r w:rsidDel="00000000" w:rsidR="00000000" w:rsidRPr="00000000">
        <w:rPr>
          <w:rtl w:val="0"/>
        </w:rPr>
        <w:t xml:space="preserve"> . Más allá de este punto, el Mesh deja de ser eficiente y debe reorganizarse bajo una estructura jerárquica.</w:t>
      </w:r>
    </w:p>
    <w:p w:rsidR="00000000" w:rsidDel="00000000" w:rsidP="00000000" w:rsidRDefault="00000000" w:rsidRPr="00000000" w14:paraId="00000010">
      <w:pPr>
        <w:pStyle w:val="Heading4"/>
        <w:rPr/>
      </w:pPr>
      <w:bookmarkStart w:colFirst="0" w:colLast="0" w:name="_x0qs3nroc1zf" w:id="5"/>
      <w:bookmarkEnd w:id="5"/>
      <w:r w:rsidDel="00000000" w:rsidR="00000000" w:rsidRPr="00000000">
        <w:rPr>
          <w:rtl w:val="0"/>
        </w:rPr>
        <w:t xml:space="preserve">5. Patrón Jerárquico (Hierarchical): Escalabilidad Corporativa</w:t>
      </w:r>
    </w:p>
    <w:p w:rsidR="00000000" w:rsidDel="00000000" w:rsidP="00000000" w:rsidRDefault="00000000" w:rsidRPr="00000000" w14:paraId="00000011">
      <w:pPr>
        <w:rPr/>
      </w:pPr>
      <w:r w:rsidDel="00000000" w:rsidR="00000000" w:rsidRPr="00000000">
        <w:rPr>
          <w:rtl w:val="0"/>
        </w:rPr>
        <w:t xml:space="preserve">Este modelo organiza a los agentes en una estructura de árbol (VP -&gt; Gerentes -&gt; Trabajadores). Cada nivel añade una capa de abstracción que protege la  </w:t>
      </w:r>
      <w:r w:rsidDel="00000000" w:rsidR="00000000" w:rsidRPr="00000000">
        <w:rPr>
          <w:b w:val="1"/>
          <w:bCs w:val="1"/>
          <w:rtl w:val="0"/>
        </w:rPr>
        <w:t xml:space="preserve">Ventana de Contexto</w:t>
      </w:r>
      <w:r w:rsidDel="00000000" w:rsidR="00000000" w:rsidRPr="00000000">
        <w:rPr>
          <w:rtl w:val="0"/>
        </w:rPr>
        <w:t xml:space="preserve"> . El VP solo recibe resúmenes estratégicos, mientras que los trabajadores manejan los datos crudos.</w:t>
      </w:r>
      <w:r w:rsidDel="00000000" w:rsidR="00000000" w:rsidRPr="00000000">
        <w:rPr>
          <w:b w:val="1"/>
          <w:bCs w:val="1"/>
          <w:rtl w:val="0"/>
        </w:rPr>
        <w:t xml:space="preserve">CrewAI</w:t>
      </w:r>
      <w:r w:rsidDel="00000000" w:rsidR="00000000" w:rsidRPr="00000000">
        <w:rPr>
          <w:rtl w:val="0"/>
        </w:rPr>
        <w:t xml:space="preserve">  es el referente en este patrón. Un "Manager" coordina equipos de agentes especializados, optimizando el consumo de recursos. Estudios comparativos indican que CrewAI utiliza un  </w:t>
      </w:r>
      <w:r w:rsidDel="00000000" w:rsidR="00000000" w:rsidRPr="00000000">
        <w:rPr>
          <w:b w:val="1"/>
          <w:bCs w:val="1"/>
          <w:rtl w:val="0"/>
        </w:rPr>
        <w:t xml:space="preserve">34% menos de tokens</w:t>
      </w:r>
      <w:r w:rsidDel="00000000" w:rsidR="00000000" w:rsidRPr="00000000">
        <w:rPr>
          <w:rtl w:val="0"/>
        </w:rPr>
        <w:t xml:space="preserve">  que AutoGen para tareas equivalentes gracias a su eficiente gestión de roles y tareas. Es la solución ideal para auditar miles de archivos de código o procesar bases de conocimiento masivas que desbordarían a cualquier agente individual.</w:t>
      </w:r>
    </w:p>
    <w:p w:rsidR="00000000" w:rsidDel="00000000" w:rsidP="00000000" w:rsidRDefault="00000000" w:rsidRPr="00000000" w14:paraId="00000012">
      <w:pPr>
        <w:pStyle w:val="Heading4"/>
        <w:rPr/>
      </w:pPr>
      <w:bookmarkStart w:colFirst="0" w:colLast="0" w:name="_92yzmexgmqzw" w:id="6"/>
      <w:bookmarkEnd w:id="6"/>
      <w:r w:rsidDel="00000000" w:rsidR="00000000" w:rsidRPr="00000000">
        <w:rPr>
          <w:rtl w:val="0"/>
        </w:rPr>
        <w:t xml:space="preserve">6. Patrón de Pipeline: La Línea de Ensamblaje Secuencial</w:t>
      </w:r>
    </w:p>
    <w:p w:rsidR="00000000" w:rsidDel="00000000" w:rsidP="00000000" w:rsidRDefault="00000000" w:rsidRPr="00000000" w14:paraId="00000013">
      <w:pPr>
        <w:rPr/>
      </w:pPr>
      <w:r w:rsidDel="00000000" w:rsidR="00000000" w:rsidRPr="00000000">
        <w:rPr>
          <w:rtl w:val="0"/>
        </w:rPr>
        <w:t xml:space="preserve">Es el modelo más rígido y predecible, donde el trabajo fluye en una secuencia fija de etapas. Es análogo a una fábrica de contenido o una línea de producción industrial.</w:t>
      </w:r>
      <w:r w:rsidDel="00000000" w:rsidR="00000000" w:rsidRPr="00000000">
        <w:rPr>
          <w:b w:val="1"/>
          <w:bCs w:val="1"/>
          <w:rtl w:val="0"/>
        </w:rPr>
        <w:t xml:space="preserve">Diagrama de Flujo Arquitectónico:</w:t>
      </w:r>
      <w:r w:rsidDel="00000000" w:rsidR="00000000" w:rsidRPr="00000000">
        <w:rPr>
          <w:rtl w:val="0"/>
        </w:rPr>
        <w:t xml:space="preserve">  Investigación -&gt; Extracción (Jina/RAG) -&gt; Resumen -&gt; Auditoría de Calidad (Quality Gate)El uso de  </w:t>
      </w:r>
      <w:r w:rsidDel="00000000" w:rsidR="00000000" w:rsidRPr="00000000">
        <w:rPr>
          <w:b w:val="1"/>
          <w:bCs w:val="1"/>
          <w:rtl w:val="0"/>
        </w:rPr>
        <w:t xml:space="preserve">Quality Gates</w:t>
      </w:r>
      <w:r w:rsidDel="00000000" w:rsidR="00000000" w:rsidRPr="00000000">
        <w:rPr>
          <w:rtl w:val="0"/>
        </w:rPr>
        <w:t xml:space="preserve">  (puertas de calidad) entre etapas es obligatorio: si el "Auditor" rechaza el "Resumen", el flujo se detiene o retrocede, evitando que el error avance. Su gran debilidad es la  </w:t>
      </w:r>
      <w:r w:rsidDel="00000000" w:rsidR="00000000" w:rsidRPr="00000000">
        <w:rPr>
          <w:b w:val="1"/>
          <w:bCs w:val="1"/>
          <w:rtl w:val="0"/>
        </w:rPr>
        <w:t xml:space="preserve">Latencia Acumulativa</w:t>
      </w:r>
      <w:r w:rsidDel="00000000" w:rsidR="00000000" w:rsidRPr="00000000">
        <w:rPr>
          <w:rtl w:val="0"/>
        </w:rPr>
        <w:t xml:space="preserve"> : cada etapa suma el tiempo de respuesta del LLM anterior (cold-start latency), lo que lo hace poco apto para aplicaciones interactivas de tiempo real, pero excelente para procesamiento por lotes (ETL de datos).</w:t>
      </w:r>
    </w:p>
    <w:p w:rsidR="00000000" w:rsidDel="00000000" w:rsidP="00000000" w:rsidRDefault="00000000" w:rsidRPr="00000000" w14:paraId="00000014">
      <w:pPr>
        <w:pStyle w:val="Heading4"/>
        <w:rPr/>
      </w:pPr>
      <w:bookmarkStart w:colFirst="0" w:colLast="0" w:name="_kxm8ams8isii" w:id="7"/>
      <w:bookmarkEnd w:id="7"/>
      <w:r w:rsidDel="00000000" w:rsidR="00000000" w:rsidRPr="00000000">
        <w:rPr>
          <w:rtl w:val="0"/>
        </w:rPr>
        <w:t xml:space="preserve">7. Matriz de Decisión: Comparativa de Modelos de Orquestación</w:t>
      </w:r>
    </w:p>
    <w:p w:rsidR="00000000" w:rsidDel="00000000" w:rsidP="00000000" w:rsidRDefault="00000000" w:rsidRPr="00000000" w14:paraId="00000015">
      <w:pPr>
        <w:rPr/>
      </w:pPr>
      <w:r w:rsidDel="00000000" w:rsidR="00000000" w:rsidRPr="00000000">
        <w:rPr>
          <w:rtl w:val="0"/>
        </w:rPr>
        <w:t xml:space="preserve">Modelo,Control,Escalabilidad,Latencia,Eficiencia de Tokens</w:t>
      </w:r>
    </w:p>
    <w:p w:rsidR="00000000" w:rsidDel="00000000" w:rsidP="00000000" w:rsidRDefault="00000000" w:rsidRPr="00000000" w14:paraId="00000016">
      <w:pPr>
        <w:rPr/>
      </w:pPr>
      <w:r w:rsidDel="00000000" w:rsidR="00000000" w:rsidRPr="00000000">
        <w:rPr>
          <w:rtl w:val="0"/>
        </w:rPr>
        <w:t xml:space="preserve">Orquestador,Alta ✅,Media ⚠️,Baja ✅,Media (Alta en AutoGen) ❌</w:t>
      </w:r>
    </w:p>
    <w:p w:rsidR="00000000" w:rsidDel="00000000" w:rsidP="00000000" w:rsidRDefault="00000000" w:rsidRPr="00000000" w14:paraId="00000017">
      <w:pPr>
        <w:rPr/>
      </w:pPr>
      <w:r w:rsidDel="00000000" w:rsidR="00000000" w:rsidRPr="00000000">
        <w:rPr>
          <w:rtl w:val="0"/>
        </w:rPr>
        <w:t xml:space="preserve">Swarm,Baja ❌,Alta ✅,Variable ⚠️,Alta ✅</w:t>
      </w:r>
    </w:p>
    <w:p w:rsidR="00000000" w:rsidDel="00000000" w:rsidP="00000000" w:rsidRDefault="00000000" w:rsidRPr="00000000" w14:paraId="00000018">
      <w:pPr>
        <w:rPr/>
      </w:pPr>
      <w:r w:rsidDel="00000000" w:rsidR="00000000" w:rsidRPr="00000000">
        <w:rPr>
          <w:rtl w:val="0"/>
        </w:rPr>
        <w:t xml:space="preserve">Malla (Mesh),Media ⚠️,Baja ( $N^2$ ) ❌,Media ⚠️,Media ⚠️</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Jerárquico,Alta ✅,Alta ✅,Alta ❌,Muy Alta (CrewAI) ✅</w:t>
      </w:r>
    </w:p>
    <w:p w:rsidR="00000000" w:rsidDel="00000000" w:rsidP="00000000" w:rsidRDefault="00000000" w:rsidRPr="00000000" w14:paraId="0000001A">
      <w:pPr>
        <w:rPr/>
      </w:pPr>
      <w:r w:rsidDel="00000000" w:rsidR="00000000" w:rsidRPr="00000000">
        <w:rPr>
          <w:rtl w:val="0"/>
        </w:rPr>
        <w:t xml:space="preserve">Pipeline,Alta ✅,Media ⚠️,Acumulativa ❌,Predecible ✅</w:t>
      </w:r>
    </w:p>
    <w:p w:rsidR="00000000" w:rsidDel="00000000" w:rsidP="00000000" w:rsidRDefault="00000000" w:rsidRPr="00000000" w14:paraId="0000001B">
      <w:pPr>
        <w:pStyle w:val="Heading4"/>
        <w:rPr/>
      </w:pPr>
      <w:bookmarkStart w:colFirst="0" w:colLast="0" w:name="_86l8u4lb0vff" w:id="8"/>
      <w:bookmarkEnd w:id="8"/>
      <w:r w:rsidDel="00000000" w:rsidR="00000000" w:rsidRPr="00000000">
        <w:rPr>
          <w:rtl w:val="0"/>
        </w:rPr>
        <w:t xml:space="preserve">8. Conclusión: Hacia el Autogobierno y la Teleología Sintética</w:t>
      </w:r>
    </w:p>
    <w:p w:rsidR="00000000" w:rsidDel="00000000" w:rsidP="00000000" w:rsidRDefault="00000000" w:rsidRPr="00000000" w14:paraId="0000001C">
      <w:pPr>
        <w:rPr/>
      </w:pPr>
      <w:r w:rsidDel="00000000" w:rsidR="00000000" w:rsidRPr="00000000">
        <w:rPr>
          <w:rtl w:val="0"/>
        </w:rPr>
        <w:t xml:space="preserve">Estamos transitando hacia lo que la literatura académica denomina el  </w:t>
      </w:r>
      <w:r w:rsidDel="00000000" w:rsidR="00000000" w:rsidRPr="00000000">
        <w:rPr>
          <w:b w:val="1"/>
          <w:bCs w:val="1"/>
          <w:rtl w:val="0"/>
        </w:rPr>
        <w:t xml:space="preserve">"giro agéntico"</w:t>
      </w:r>
      <w:r w:rsidDel="00000000" w:rsidR="00000000" w:rsidRPr="00000000">
        <w:rPr>
          <w:rtl w:val="0"/>
        </w:rPr>
        <w:t xml:space="preserve"> : el paso de máquinas de cómputo a  </w:t>
      </w:r>
      <w:r w:rsidDel="00000000" w:rsidR="00000000" w:rsidRPr="00000000">
        <w:rPr>
          <w:b w:val="1"/>
          <w:bCs w:val="1"/>
          <w:rtl w:val="0"/>
        </w:rPr>
        <w:t xml:space="preserve">socios de razonamiento</w:t>
      </w:r>
      <w:r w:rsidDel="00000000" w:rsidR="00000000" w:rsidRPr="00000000">
        <w:rPr>
          <w:rtl w:val="0"/>
        </w:rPr>
        <w:t xml:space="preserve"> . La frontera final es la  </w:t>
      </w:r>
      <w:r w:rsidDel="00000000" w:rsidR="00000000" w:rsidRPr="00000000">
        <w:rPr>
          <w:b w:val="1"/>
          <w:bCs w:val="1"/>
          <w:rtl w:val="0"/>
        </w:rPr>
        <w:t xml:space="preserve">Teleología Sintética</w:t>
      </w:r>
      <w:r w:rsidDel="00000000" w:rsidR="00000000" w:rsidRPr="00000000">
        <w:rPr>
          <w:rtl w:val="0"/>
        </w:rPr>
        <w:t xml:space="preserve">  (o Intencionalidad Diseñada), donde los sistemas no solo ejecutan tareas, sino que mantienen y revisan sus propios objetivos mediante procesos de  </w:t>
      </w:r>
      <w:r w:rsidDel="00000000" w:rsidR="00000000" w:rsidRPr="00000000">
        <w:rPr>
          <w:b w:val="1"/>
          <w:bCs w:val="1"/>
          <w:rtl w:val="0"/>
        </w:rPr>
        <w:t xml:space="preserve">autoevaluación recursiva</w:t>
      </w:r>
      <w:r w:rsidDel="00000000" w:rsidR="00000000" w:rsidRPr="00000000">
        <w:rPr>
          <w:rtl w:val="0"/>
        </w:rPr>
        <w:t xml:space="preserve"> .Este futuro se apoya en los  </w:t>
      </w:r>
      <w:r w:rsidDel="00000000" w:rsidR="00000000" w:rsidRPr="00000000">
        <w:rPr>
          <w:b w:val="1"/>
          <w:bCs w:val="1"/>
          <w:rtl w:val="0"/>
        </w:rPr>
        <w:t xml:space="preserve">3 Pilares de la Agencia Sintética</w:t>
      </w:r>
      <w:r w:rsidDel="00000000" w:rsidR="00000000" w:rsidRPr="00000000">
        <w:rPr>
          <w:rtl w:val="0"/>
        </w:rPr>
        <w:t xml:space="preserve"> :</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Intencionalidad:</w:t>
      </w:r>
      <w:r w:rsidDel="00000000" w:rsidR="00000000" w:rsidRPr="00000000">
        <w:rPr>
          <w:rtl w:val="0"/>
        </w:rPr>
        <w:t xml:space="preserve">  Capacidad del sistema para representar estados del mundo como metas propias y perseguirlos.</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Autonomía Adaptativa:</w:t>
      </w:r>
      <w:r w:rsidDel="00000000" w:rsidR="00000000" w:rsidRPr="00000000">
        <w:rPr>
          <w:rtl w:val="0"/>
        </w:rPr>
        <w:t xml:space="preserve">  La capacidad de la IA para ajustar no solo sus acciones, sino sus propios criterios de éxito según el contexto ambiental.</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Cierre Operacional:</w:t>
      </w:r>
      <w:r w:rsidDel="00000000" w:rsidR="00000000" w:rsidRPr="00000000">
        <w:rPr>
          <w:rtl w:val="0"/>
        </w:rPr>
        <w:t xml:space="preserve">  Sistemas que mantienen su coherencia interna y metas frente a entornos cambiantes sin intervención humana constante.Como arquitectos, nuestro rol evoluciona de escribir instrucciones a diseñar ecosistemas donde la inteligencia distribuida garantice la robustez que la computación monolítica ya no puede ofrecer.</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