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4fv1bmz4droj" w:id="0"/>
      <w:bookmarkEnd w:id="0"/>
      <w:r w:rsidDel="00000000" w:rsidR="00000000" w:rsidRPr="00000000">
        <w:rPr>
          <w:rtl w:val="0"/>
        </w:rPr>
        <w:t xml:space="preserve">Observabilidad de Agentes de IA: Guía Estratégica para la Operación y Depuración en Producción</w:t>
      </w:r>
    </w:p>
    <w:p w:rsidR="00000000" w:rsidDel="00000000" w:rsidP="00000000" w:rsidRDefault="00000000" w:rsidRPr="00000000" w14:paraId="00000002">
      <w:pPr>
        <w:pStyle w:val="Heading4"/>
        <w:rPr/>
      </w:pPr>
      <w:bookmarkStart w:colFirst="0" w:colLast="0" w:name="_2fekwyou0919" w:id="1"/>
      <w:bookmarkEnd w:id="1"/>
      <w:r w:rsidDel="00000000" w:rsidR="00000000" w:rsidRPr="00000000">
        <w:rPr>
          <w:rtl w:val="0"/>
        </w:rPr>
        <w:t xml:space="preserve">Resumen Ejecutivo</w:t>
      </w:r>
    </w:p>
    <w:p w:rsidR="00000000" w:rsidDel="00000000" w:rsidP="00000000" w:rsidRDefault="00000000" w:rsidRPr="00000000" w14:paraId="00000003">
      <w:pPr>
        <w:rPr/>
      </w:pPr>
      <w:r w:rsidDel="00000000" w:rsidR="00000000" w:rsidRPr="00000000">
        <w:rPr>
          <w:rtl w:val="0"/>
        </w:rPr>
        <w:t xml:space="preserve">La transición de aplicaciones de software tradicionales a sistemas basados en agentes de Inteligencia Artificial (IA) exige una evolución crítica en las prácticas de observabilidad. Mientras que el software convencional es determinista, los agentes de IA son  </w:t>
      </w:r>
      <w:r w:rsidDel="00000000" w:rsidR="00000000" w:rsidRPr="00000000">
        <w:rPr>
          <w:b w:val="1"/>
          <w:bCs w:val="1"/>
          <w:rtl w:val="0"/>
        </w:rPr>
        <w:t xml:space="preserve">probabilísticos por diseño</w:t>
      </w:r>
      <w:r w:rsidDel="00000000" w:rsidR="00000000" w:rsidRPr="00000000">
        <w:rPr>
          <w:rtl w:val="0"/>
        </w:rPr>
        <w:t xml:space="preserve"> , lo que introduce modos de fallo lógicos y silenciosos que la supervisión tradicional (basada únicamente en latencia y errores de servidor) no puede detectar.Los puntos clave de esta síntesis incluyen:</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Estandarización:</w:t>
      </w:r>
      <w:r w:rsidDel="00000000" w:rsidR="00000000" w:rsidRPr="00000000">
        <w:rPr>
          <w:rtl w:val="0"/>
        </w:rPr>
        <w:t xml:space="preserve">  La consolidación de las convenciones semánticas de  </w:t>
      </w:r>
      <w:r w:rsidDel="00000000" w:rsidR="00000000" w:rsidRPr="00000000">
        <w:rPr>
          <w:b w:val="1"/>
          <w:bCs w:val="1"/>
          <w:rtl w:val="0"/>
        </w:rPr>
        <w:t xml:space="preserve">OpenTelemetry (OTel)</w:t>
      </w:r>
      <w:r w:rsidDel="00000000" w:rsidR="00000000" w:rsidRPr="00000000">
        <w:rPr>
          <w:rtl w:val="0"/>
        </w:rPr>
        <w:t xml:space="preserve">  para IA generativa es el pilar fundamental para una telemetría interoperable.</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Profundidad de Análisis:</w:t>
      </w:r>
      <w:r w:rsidDel="00000000" w:rsidR="00000000" w:rsidRPr="00000000">
        <w:rPr>
          <w:rtl w:val="0"/>
        </w:rPr>
        <w:t xml:space="preserve">  La observabilidad efectiva requiere tres capas: trazas detalladas por ejecución, métricas agregadas de negocio/coste y evaluaciones continuas (LLM como juez) sobre datos de producción.</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Control de Costes y Privacidad:</w:t>
      </w:r>
      <w:r w:rsidDel="00000000" w:rsidR="00000000" w:rsidRPr="00000000">
        <w:rPr>
          <w:rtl w:val="0"/>
        </w:rPr>
        <w:t xml:space="preserve">  El "fallo más caro" es la falta de trazabilidad en el consumo de tokens. Paralelamente, la "Observabilidad Segura" (Safe Observability) debe implementar la redacción automatizada de PII (Información de Identificación Personal) en las trazas.</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Estrategia de Depuración:</w:t>
      </w:r>
      <w:r w:rsidDel="00000000" w:rsidR="00000000" w:rsidRPr="00000000">
        <w:rPr>
          <w:rtl w:val="0"/>
        </w:rPr>
        <w:t xml:space="preserve">  Es imperativo tratar las ejecuciones como  </w:t>
      </w:r>
      <w:r w:rsidDel="00000000" w:rsidR="00000000" w:rsidRPr="00000000">
        <w:rPr>
          <w:b w:val="1"/>
          <w:bCs w:val="1"/>
          <w:rtl w:val="0"/>
        </w:rPr>
        <w:t xml:space="preserve">trazas, no como registros de chat</w:t>
      </w:r>
      <w:r w:rsidDel="00000000" w:rsidR="00000000" w:rsidRPr="00000000">
        <w:rPr>
          <w:rtl w:val="0"/>
        </w:rPr>
        <w:t xml:space="preserve"> , utilizando IDs de correlación que permitan reconstruir el linaje completo del razonamiento y las llamadas a herramientas externas.</w:t>
      </w:r>
    </w:p>
    <w:p w:rsidR="00000000" w:rsidDel="00000000" w:rsidP="00000000" w:rsidRDefault="00000000" w:rsidRPr="00000000" w14:paraId="00000008">
      <w:pPr>
        <w:pStyle w:val="Heading4"/>
        <w:rPr/>
      </w:pPr>
      <w:bookmarkStart w:colFirst="0" w:colLast="0" w:name="_ovvliitjdrsc" w:id="2"/>
      <w:bookmarkEnd w:id="2"/>
      <w:r w:rsidDel="00000000" w:rsidR="00000000" w:rsidRPr="00000000">
        <w:rPr>
          <w:rtl w:val="0"/>
        </w:rPr>
        <w:t xml:space="preserve">1. El Cambio de Paradigma: Por qué los Sistemas Clásicos son Insuficientes</w:t>
      </w:r>
    </w:p>
    <w:p w:rsidR="00000000" w:rsidDel="00000000" w:rsidP="00000000" w:rsidRDefault="00000000" w:rsidRPr="00000000" w14:paraId="00000009">
      <w:pPr>
        <w:rPr/>
      </w:pPr>
      <w:r w:rsidDel="00000000" w:rsidR="00000000" w:rsidRPr="00000000">
        <w:rPr>
          <w:rtl w:val="0"/>
        </w:rPr>
        <w:t xml:space="preserve">La observabilidad tradicional se diseñó para servicios HTTP síncronos con rutas de código fijas. Los agentes de IA rompen este modelo debido a tres factores críticos:</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Complejidad No Determinista:</w:t>
      </w:r>
      <w:r w:rsidDel="00000000" w:rsidR="00000000" w:rsidRPr="00000000">
        <w:rPr>
          <w:rtl w:val="0"/>
        </w:rPr>
        <w:t xml:space="preserve">  Una sola entrada de usuario puede desencadenar docenas de llamadas encadenadas, bucles y ramificaciones que el agente construye en tiempo real.</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Coste Económico Explícito:</w:t>
      </w:r>
      <w:r w:rsidDel="00000000" w:rsidR="00000000" w:rsidRPr="00000000">
        <w:rPr>
          <w:rtl w:val="0"/>
        </w:rPr>
        <w:t xml:space="preserve">  A diferencia de una API estándar, cada interacción tiene un coste asociado en tokens (entrada/salida) que debe ser monitorizado con la misma prioridad que el rendimiento técnico.</w:t>
      </w:r>
    </w:p>
    <w:p w:rsidR="00000000" w:rsidDel="00000000" w:rsidP="00000000" w:rsidRDefault="00000000" w:rsidRPr="00000000" w14:paraId="0000000C">
      <w:pPr>
        <w:numPr>
          <w:ilvl w:val="0"/>
          <w:numId w:val="3"/>
        </w:numPr>
        <w:ind w:left="720" w:hanging="360"/>
        <w:rPr>
          <w:u w:val="none"/>
        </w:rPr>
      </w:pPr>
      <w:r w:rsidDel="00000000" w:rsidR="00000000" w:rsidRPr="00000000">
        <w:rPr>
          <w:b w:val="1"/>
          <w:bCs w:val="1"/>
          <w:rtl w:val="0"/>
        </w:rPr>
        <w:t xml:space="preserve">Contenido como Contexto de Depuración:</w:t>
      </w:r>
      <w:r w:rsidDel="00000000" w:rsidR="00000000" w:rsidRPr="00000000">
        <w:rPr>
          <w:rtl w:val="0"/>
        </w:rPr>
        <w:t xml:space="preserve">  Los códigos de estado (ej. HTTP 200) no garantizan el éxito. Un agente puede responder correctamente a nivel técnico pero fallar lógicamente (alucinaciones, uso de herramientas incorrectas o pérdida de contexto).| Característica | Software Tradicional | Agentes de IA || ------ | ------ | ------ || </w:t>
      </w:r>
      <w:r w:rsidDel="00000000" w:rsidR="00000000" w:rsidRPr="00000000">
        <w:rPr>
          <w:b w:val="1"/>
          <w:bCs w:val="1"/>
          <w:rtl w:val="0"/>
        </w:rPr>
        <w:t xml:space="preserve">Naturaleza</w:t>
      </w:r>
      <w:r w:rsidDel="00000000" w:rsidR="00000000" w:rsidRPr="00000000">
        <w:rPr>
          <w:rtl w:val="0"/>
        </w:rPr>
        <w:t xml:space="preserve"> | Determinista (Si-Esto-Entonces-Aquello) | Probabilística (Razonamiento y autonomía) || </w:t>
      </w:r>
      <w:r w:rsidDel="00000000" w:rsidR="00000000" w:rsidRPr="00000000">
        <w:rPr>
          <w:b w:val="1"/>
          <w:bCs w:val="1"/>
          <w:rtl w:val="0"/>
        </w:rPr>
        <w:t xml:space="preserve">Modo de Fallo</w:t>
      </w:r>
      <w:r w:rsidDel="00000000" w:rsidR="00000000" w:rsidRPr="00000000">
        <w:rPr>
          <w:rtl w:val="0"/>
        </w:rPr>
        <w:t xml:space="preserve"> | Explícito (Errores 500, bloqueos) | Silencioso (Bucles infinitos, alucinaciones) || </w:t>
      </w:r>
      <w:r w:rsidDel="00000000" w:rsidR="00000000" w:rsidRPr="00000000">
        <w:rPr>
          <w:b w:val="1"/>
          <w:bCs w:val="1"/>
          <w:rtl w:val="0"/>
        </w:rPr>
        <w:t xml:space="preserve">Métrica Crítica</w:t>
      </w:r>
      <w:r w:rsidDel="00000000" w:rsidR="00000000" w:rsidRPr="00000000">
        <w:rPr>
          <w:rtl w:val="0"/>
        </w:rPr>
        <w:t xml:space="preserve"> | Latencia y Throughput | Calidad del razonamiento y Coste de tokens || </w:t>
      </w:r>
      <w:r w:rsidDel="00000000" w:rsidR="00000000" w:rsidRPr="00000000">
        <w:rPr>
          <w:b w:val="1"/>
          <w:bCs w:val="1"/>
          <w:rtl w:val="0"/>
        </w:rPr>
        <w:t xml:space="preserve">Visibilidad</w:t>
      </w:r>
      <w:r w:rsidDel="00000000" w:rsidR="00000000" w:rsidRPr="00000000">
        <w:rPr>
          <w:rtl w:val="0"/>
        </w:rPr>
        <w:t xml:space="preserve"> | Registro de eventos y métricas | Trazas de linaje y cadena de pensamiento |</w:t>
      </w:r>
    </w:p>
    <w:p w:rsidR="00000000" w:rsidDel="00000000" w:rsidP="00000000" w:rsidRDefault="00000000" w:rsidRPr="00000000" w14:paraId="0000000D">
      <w:pPr>
        <w:pStyle w:val="Heading4"/>
        <w:rPr/>
      </w:pPr>
      <w:bookmarkStart w:colFirst="0" w:colLast="0" w:name="_wl83bm7559pr" w:id="3"/>
      <w:bookmarkEnd w:id="3"/>
      <w:r w:rsidDel="00000000" w:rsidR="00000000" w:rsidRPr="00000000">
        <w:rPr>
          <w:rtl w:val="0"/>
        </w:rPr>
        <w:t xml:space="preserve">2. Los Pilares de la Observabilidad de Agentes</w:t>
      </w:r>
    </w:p>
    <w:p w:rsidR="00000000" w:rsidDel="00000000" w:rsidP="00000000" w:rsidRDefault="00000000" w:rsidRPr="00000000" w14:paraId="0000000E">
      <w:pPr>
        <w:rPr/>
      </w:pPr>
      <w:r w:rsidDel="00000000" w:rsidR="00000000" w:rsidRPr="00000000">
        <w:rPr>
          <w:rtl w:val="0"/>
        </w:rPr>
        <w:t xml:space="preserve">Para operar sistemas de IA de manera confiable, la infraestructura de telemetría debe estructurarse en torno a cuatro señales principales:</w:t>
      </w:r>
    </w:p>
    <w:p w:rsidR="00000000" w:rsidDel="00000000" w:rsidP="00000000" w:rsidRDefault="00000000" w:rsidRPr="00000000" w14:paraId="0000000F">
      <w:pPr>
        <w:pStyle w:val="Heading5"/>
        <w:rPr/>
      </w:pPr>
      <w:bookmarkStart w:colFirst="0" w:colLast="0" w:name="_pwo07dv3c982" w:id="4"/>
      <w:bookmarkEnd w:id="4"/>
      <w:r w:rsidDel="00000000" w:rsidR="00000000" w:rsidRPr="00000000">
        <w:rPr>
          <w:rtl w:val="0"/>
        </w:rPr>
        <w:t xml:space="preserve">A. Trazas por Ejecución (El Linaje del Razonamiento)</w:t>
      </w:r>
    </w:p>
    <w:p w:rsidR="00000000" w:rsidDel="00000000" w:rsidP="00000000" w:rsidRDefault="00000000" w:rsidRPr="00000000" w14:paraId="00000010">
      <w:pPr>
        <w:rPr/>
      </w:pPr>
      <w:r w:rsidDel="00000000" w:rsidR="00000000" w:rsidRPr="00000000">
        <w:rPr>
          <w:rtl w:val="0"/>
        </w:rPr>
        <w:t xml:space="preserve">Cada ejecución debe registrarse como un árbol jerárquico de eventos. Siguiendo las convenciones de OpenTelemetry, cada "span" (lapso) de llamada al modelo debe capturar:</w:t>
      </w:r>
    </w:p>
    <w:p w:rsidR="00000000" w:rsidDel="00000000" w:rsidP="00000000" w:rsidRDefault="00000000" w:rsidRPr="00000000" w14:paraId="00000011">
      <w:pPr>
        <w:numPr>
          <w:ilvl w:val="0"/>
          <w:numId w:val="9"/>
        </w:numPr>
        <w:ind w:left="720" w:hanging="360"/>
        <w:rPr>
          <w:u w:val="none"/>
        </w:rPr>
      </w:pPr>
      <w:r w:rsidDel="00000000" w:rsidR="00000000" w:rsidRPr="00000000">
        <w:rPr>
          <w:b w:val="1"/>
          <w:bCs w:val="1"/>
          <w:rtl w:val="0"/>
        </w:rPr>
        <w:t xml:space="preserve">Metadatos del Modelo:</w:t>
      </w:r>
      <w:r w:rsidDel="00000000" w:rsidR="00000000" w:rsidRPr="00000000">
        <w:rPr>
          <w:rtl w:val="0"/>
        </w:rPr>
        <w:t xml:space="preserve">  Nombre del modelo, temperatura y tope de tokens.</w:t>
      </w:r>
    </w:p>
    <w:p w:rsidR="00000000" w:rsidDel="00000000" w:rsidP="00000000" w:rsidRDefault="00000000" w:rsidRPr="00000000" w14:paraId="00000012">
      <w:pPr>
        <w:numPr>
          <w:ilvl w:val="0"/>
          <w:numId w:val="9"/>
        </w:numPr>
        <w:ind w:left="720" w:hanging="360"/>
        <w:rPr>
          <w:u w:val="none"/>
        </w:rPr>
      </w:pPr>
      <w:r w:rsidDel="00000000" w:rsidR="00000000" w:rsidRPr="00000000">
        <w:rPr>
          <w:b w:val="1"/>
          <w:bCs w:val="1"/>
          <w:rtl w:val="0"/>
        </w:rPr>
        <w:t xml:space="preserve">Uso de Tokens:</w:t>
      </w:r>
      <w:r w:rsidDel="00000000" w:rsidR="00000000" w:rsidRPr="00000000">
        <w:rPr>
          <w:rtl w:val="0"/>
        </w:rPr>
        <w:t xml:space="preserve">  Conteo preciso de entrada y salida para calcular el coste estimado.</w:t>
      </w:r>
    </w:p>
    <w:p w:rsidR="00000000" w:rsidDel="00000000" w:rsidP="00000000" w:rsidRDefault="00000000" w:rsidRPr="00000000" w14:paraId="00000013">
      <w:pPr>
        <w:numPr>
          <w:ilvl w:val="0"/>
          <w:numId w:val="9"/>
        </w:numPr>
        <w:ind w:left="720" w:hanging="360"/>
        <w:rPr>
          <w:u w:val="none"/>
        </w:rPr>
      </w:pPr>
      <w:r w:rsidDel="00000000" w:rsidR="00000000" w:rsidRPr="00000000">
        <w:rPr>
          <w:b w:val="1"/>
          <w:bCs w:val="1"/>
          <w:rtl w:val="0"/>
        </w:rPr>
        <w:t xml:space="preserve">Eventos de Herramientas:</w:t>
      </w:r>
      <w:r w:rsidDel="00000000" w:rsidR="00000000" w:rsidRPr="00000000">
        <w:rPr>
          <w:rtl w:val="0"/>
        </w:rPr>
        <w:t xml:space="preserve">  Nombre de la herramienta invocada, argumentos enviados y resultados crudos recibidos.</w:t>
      </w:r>
    </w:p>
    <w:p w:rsidR="00000000" w:rsidDel="00000000" w:rsidP="00000000" w:rsidRDefault="00000000" w:rsidRPr="00000000" w14:paraId="00000014">
      <w:pPr>
        <w:numPr>
          <w:ilvl w:val="0"/>
          <w:numId w:val="9"/>
        </w:numPr>
        <w:ind w:left="720" w:hanging="360"/>
        <w:rPr>
          <w:u w:val="none"/>
        </w:rPr>
      </w:pPr>
      <w:r w:rsidDel="00000000" w:rsidR="00000000" w:rsidRPr="00000000">
        <w:rPr>
          <w:b w:val="1"/>
          <w:bCs w:val="1"/>
          <w:rtl w:val="0"/>
        </w:rPr>
        <w:t xml:space="preserve">Razonamiento Intermedio:</w:t>
      </w:r>
      <w:r w:rsidDel="00000000" w:rsidR="00000000" w:rsidRPr="00000000">
        <w:rPr>
          <w:rtl w:val="0"/>
        </w:rPr>
        <w:t xml:space="preserve">  La "Cadena de Pensamiento" (Chain of Thought) que explica por qué el agente tomó una decisión.</w:t>
      </w:r>
    </w:p>
    <w:p w:rsidR="00000000" w:rsidDel="00000000" w:rsidP="00000000" w:rsidRDefault="00000000" w:rsidRPr="00000000" w14:paraId="00000015">
      <w:pPr>
        <w:pStyle w:val="Heading5"/>
        <w:rPr/>
      </w:pPr>
      <w:bookmarkStart w:colFirst="0" w:colLast="0" w:name="_isqhf04psh4q" w:id="5"/>
      <w:bookmarkEnd w:id="5"/>
      <w:r w:rsidDel="00000000" w:rsidR="00000000" w:rsidRPr="00000000">
        <w:rPr>
          <w:rtl w:val="0"/>
        </w:rPr>
        <w:t xml:space="preserve">B. Métricas Agregadas de Negocio y Operación</w:t>
      </w:r>
    </w:p>
    <w:p w:rsidR="00000000" w:rsidDel="00000000" w:rsidP="00000000" w:rsidRDefault="00000000" w:rsidRPr="00000000" w14:paraId="00000016">
      <w:pPr>
        <w:rPr/>
      </w:pPr>
      <w:r w:rsidDel="00000000" w:rsidR="00000000" w:rsidRPr="00000000">
        <w:rPr>
          <w:rtl w:val="0"/>
        </w:rPr>
        <w:t xml:space="preserve">No basta con trazas individuales; se requieren paneles que muestren tendencias agregadas. Las cinco métricas fundamentales son:</w:t>
      </w:r>
    </w:p>
    <w:p w:rsidR="00000000" w:rsidDel="00000000" w:rsidP="00000000" w:rsidRDefault="00000000" w:rsidRPr="00000000" w14:paraId="00000017">
      <w:pPr>
        <w:numPr>
          <w:ilvl w:val="0"/>
          <w:numId w:val="5"/>
        </w:numPr>
        <w:ind w:left="720" w:hanging="360"/>
        <w:rPr>
          <w:u w:val="none"/>
        </w:rPr>
      </w:pPr>
      <w:r w:rsidDel="00000000" w:rsidR="00000000" w:rsidRPr="00000000">
        <w:rPr>
          <w:b w:val="1"/>
          <w:bCs w:val="1"/>
          <w:rtl w:val="0"/>
        </w:rPr>
        <w:t xml:space="preserve">Coste por Conversación:</w:t>
      </w:r>
      <w:r w:rsidDel="00000000" w:rsidR="00000000" w:rsidRPr="00000000">
        <w:rPr>
          <w:rtl w:val="0"/>
        </w:rPr>
        <w:t xml:space="preserve">  Seguimiento financiero para evitar sorpresas en la factura del proveedor.</w:t>
      </w:r>
    </w:p>
    <w:p w:rsidR="00000000" w:rsidDel="00000000" w:rsidP="00000000" w:rsidRDefault="00000000" w:rsidRPr="00000000" w14:paraId="00000018">
      <w:pPr>
        <w:numPr>
          <w:ilvl w:val="0"/>
          <w:numId w:val="5"/>
        </w:numPr>
        <w:ind w:left="720" w:hanging="360"/>
        <w:rPr>
          <w:u w:val="none"/>
        </w:rPr>
      </w:pPr>
      <w:r w:rsidDel="00000000" w:rsidR="00000000" w:rsidRPr="00000000">
        <w:rPr>
          <w:b w:val="1"/>
          <w:bCs w:val="1"/>
          <w:rtl w:val="0"/>
        </w:rPr>
        <w:t xml:space="preserve">Latencia Extremo a Extremo:</w:t>
      </w:r>
      <w:r w:rsidDel="00000000" w:rsidR="00000000" w:rsidRPr="00000000">
        <w:rPr>
          <w:rtl w:val="0"/>
        </w:rPr>
        <w:t xml:space="preserve">  Tiempo total percibido por el usuario, desglosado entre latencia del modelo y latencia de herramientas externas.</w:t>
      </w:r>
    </w:p>
    <w:p w:rsidR="00000000" w:rsidDel="00000000" w:rsidP="00000000" w:rsidRDefault="00000000" w:rsidRPr="00000000" w14:paraId="00000019">
      <w:pPr>
        <w:numPr>
          <w:ilvl w:val="0"/>
          <w:numId w:val="5"/>
        </w:numPr>
        <w:ind w:left="720" w:hanging="360"/>
        <w:rPr>
          <w:u w:val="none"/>
        </w:rPr>
      </w:pPr>
      <w:r w:rsidDel="00000000" w:rsidR="00000000" w:rsidRPr="00000000">
        <w:rPr>
          <w:b w:val="1"/>
          <w:bCs w:val="1"/>
          <w:rtl w:val="0"/>
        </w:rPr>
        <w:t xml:space="preserve">Tasa de Finalización Exitosa:</w:t>
      </w:r>
      <w:r w:rsidDel="00000000" w:rsidR="00000000" w:rsidRPr="00000000">
        <w:rPr>
          <w:rtl w:val="0"/>
        </w:rPr>
        <w:t xml:space="preserve">  Proporción de tareas completadas frente a abandonos o errores.</w:t>
      </w:r>
    </w:p>
    <w:p w:rsidR="00000000" w:rsidDel="00000000" w:rsidP="00000000" w:rsidRDefault="00000000" w:rsidRPr="00000000" w14:paraId="0000001A">
      <w:pPr>
        <w:numPr>
          <w:ilvl w:val="0"/>
          <w:numId w:val="5"/>
        </w:numPr>
        <w:ind w:left="720" w:hanging="360"/>
        <w:rPr>
          <w:u w:val="none"/>
        </w:rPr>
      </w:pPr>
      <w:r w:rsidDel="00000000" w:rsidR="00000000" w:rsidRPr="00000000">
        <w:rPr>
          <w:b w:val="1"/>
          <w:bCs w:val="1"/>
          <w:rtl w:val="0"/>
        </w:rPr>
        <w:t xml:space="preserve">Pasos Medios por Conversación:</w:t>
      </w:r>
      <w:r w:rsidDel="00000000" w:rsidR="00000000" w:rsidRPr="00000000">
        <w:rPr>
          <w:rtl w:val="0"/>
        </w:rPr>
        <w:t xml:space="preserve">  Indica la eficiencia del agente. Un aumento repentino puede señalar bucles ineficientes.</w:t>
      </w:r>
    </w:p>
    <w:p w:rsidR="00000000" w:rsidDel="00000000" w:rsidP="00000000" w:rsidRDefault="00000000" w:rsidRPr="00000000" w14:paraId="0000001B">
      <w:pPr>
        <w:numPr>
          <w:ilvl w:val="0"/>
          <w:numId w:val="5"/>
        </w:numPr>
        <w:ind w:left="720" w:hanging="360"/>
        <w:rPr>
          <w:u w:val="none"/>
        </w:rPr>
      </w:pPr>
      <w:r w:rsidDel="00000000" w:rsidR="00000000" w:rsidRPr="00000000">
        <w:rPr>
          <w:b w:val="1"/>
          <w:bCs w:val="1"/>
          <w:rtl w:val="0"/>
        </w:rPr>
        <w:t xml:space="preserve">Tasa de Uso de Herramientas:</w:t>
      </w:r>
      <w:r w:rsidDel="00000000" w:rsidR="00000000" w:rsidRPr="00000000">
        <w:rPr>
          <w:rtl w:val="0"/>
        </w:rPr>
        <w:t xml:space="preserve">  Frecuencia con la que se invocan capacidades externas (APIs, bases de datos).</w:t>
      </w:r>
    </w:p>
    <w:p w:rsidR="00000000" w:rsidDel="00000000" w:rsidP="00000000" w:rsidRDefault="00000000" w:rsidRPr="00000000" w14:paraId="0000001C">
      <w:pPr>
        <w:pStyle w:val="Heading5"/>
        <w:rPr/>
      </w:pPr>
      <w:bookmarkStart w:colFirst="0" w:colLast="0" w:name="_inbi5rw4073a" w:id="6"/>
      <w:bookmarkEnd w:id="6"/>
      <w:r w:rsidDel="00000000" w:rsidR="00000000" w:rsidRPr="00000000">
        <w:rPr>
          <w:rtl w:val="0"/>
        </w:rPr>
        <w:t xml:space="preserve">C. Evaluaciones sobre Producción</w:t>
      </w:r>
    </w:p>
    <w:p w:rsidR="00000000" w:rsidDel="00000000" w:rsidP="00000000" w:rsidRDefault="00000000" w:rsidRPr="00000000" w14:paraId="0000001D">
      <w:pPr>
        <w:rPr/>
      </w:pPr>
      <w:r w:rsidDel="00000000" w:rsidR="00000000" w:rsidRPr="00000000">
        <w:rPr>
          <w:rtl w:val="0"/>
        </w:rPr>
        <w:t xml:space="preserve">La observabilidad para agentes incluye una capa adicional: el uso de un  </w:t>
      </w:r>
      <w:r w:rsidDel="00000000" w:rsidR="00000000" w:rsidRPr="00000000">
        <w:rPr>
          <w:b w:val="1"/>
          <w:bCs w:val="1"/>
          <w:rtl w:val="0"/>
        </w:rPr>
        <w:t xml:space="preserve">"LLM Juez"</w:t>
      </w:r>
      <w:r w:rsidDel="00000000" w:rsidR="00000000" w:rsidRPr="00000000">
        <w:rPr>
          <w:rtl w:val="0"/>
        </w:rPr>
        <w:t xml:space="preserve"> . Este sistema evalúa muestras de conversaciones reales basándose en criterios como la fundamentación (groundedness), seguridad y corrección en el uso de herramientas.</w:t>
      </w:r>
    </w:p>
    <w:p w:rsidR="00000000" w:rsidDel="00000000" w:rsidP="00000000" w:rsidRDefault="00000000" w:rsidRPr="00000000" w14:paraId="0000001E">
      <w:pPr>
        <w:pStyle w:val="Heading4"/>
        <w:rPr/>
      </w:pPr>
      <w:bookmarkStart w:colFirst="0" w:colLast="0" w:name="_fu9g39m3ih6e" w:id="7"/>
      <w:bookmarkEnd w:id="7"/>
      <w:r w:rsidDel="00000000" w:rsidR="00000000" w:rsidRPr="00000000">
        <w:rPr>
          <w:rtl w:val="0"/>
        </w:rPr>
        <w:t xml:space="preserve">3. Identificación y Clasificación de Fallos</w:t>
      </w:r>
    </w:p>
    <w:p w:rsidR="00000000" w:rsidDel="00000000" w:rsidP="00000000" w:rsidRDefault="00000000" w:rsidRPr="00000000" w14:paraId="0000001F">
      <w:pPr>
        <w:rPr/>
      </w:pPr>
      <w:r w:rsidDel="00000000" w:rsidR="00000000" w:rsidRPr="00000000">
        <w:rPr>
          <w:rtl w:val="0"/>
        </w:rPr>
        <w:t xml:space="preserve">Los agentes suelen presentar "fallos lógicos" que requieren una taxonomía específica para ser gestionados de manera proactiva:</w:t>
      </w:r>
    </w:p>
    <w:p w:rsidR="00000000" w:rsidDel="00000000" w:rsidP="00000000" w:rsidRDefault="00000000" w:rsidRPr="00000000" w14:paraId="00000020">
      <w:pPr>
        <w:numPr>
          <w:ilvl w:val="0"/>
          <w:numId w:val="6"/>
        </w:numPr>
        <w:ind w:left="720" w:hanging="360"/>
        <w:rPr>
          <w:u w:val="none"/>
        </w:rPr>
      </w:pPr>
      <w:r w:rsidDel="00000000" w:rsidR="00000000" w:rsidRPr="00000000">
        <w:rPr>
          <w:b w:val="1"/>
          <w:bCs w:val="1"/>
          <w:rtl w:val="0"/>
        </w:rPr>
        <w:t xml:space="preserve">Fallos de Entrada:</w:t>
      </w:r>
      <w:r w:rsidDel="00000000" w:rsidR="00000000" w:rsidRPr="00000000">
        <w:rPr>
          <w:rtl w:val="0"/>
        </w:rPr>
        <w:t xml:space="preserve">  Datos faltantes, ambigüedad en el prompt o formato inválido.</w:t>
      </w:r>
    </w:p>
    <w:p w:rsidR="00000000" w:rsidDel="00000000" w:rsidP="00000000" w:rsidRDefault="00000000" w:rsidRPr="00000000" w14:paraId="00000021">
      <w:pPr>
        <w:numPr>
          <w:ilvl w:val="0"/>
          <w:numId w:val="6"/>
        </w:numPr>
        <w:ind w:left="720" w:hanging="360"/>
        <w:rPr>
          <w:u w:val="none"/>
        </w:rPr>
      </w:pPr>
      <w:r w:rsidDel="00000000" w:rsidR="00000000" w:rsidRPr="00000000">
        <w:rPr>
          <w:b w:val="1"/>
          <w:bCs w:val="1"/>
          <w:rtl w:val="0"/>
        </w:rPr>
        <w:t xml:space="preserve">Fallos de Modelo:</w:t>
      </w:r>
      <w:r w:rsidDel="00000000" w:rsidR="00000000" w:rsidRPr="00000000">
        <w:rPr>
          <w:rtl w:val="0"/>
        </w:rPr>
        <w:t xml:space="preserve">  Generación de JSON inválido, baja confianza en la respuesta o incumplimiento de directrices de tono.</w:t>
      </w:r>
    </w:p>
    <w:p w:rsidR="00000000" w:rsidDel="00000000" w:rsidP="00000000" w:rsidRDefault="00000000" w:rsidRPr="00000000" w14:paraId="00000022">
      <w:pPr>
        <w:numPr>
          <w:ilvl w:val="0"/>
          <w:numId w:val="6"/>
        </w:numPr>
        <w:ind w:left="720" w:hanging="360"/>
        <w:rPr>
          <w:u w:val="none"/>
        </w:rPr>
      </w:pPr>
      <w:r w:rsidDel="00000000" w:rsidR="00000000" w:rsidRPr="00000000">
        <w:rPr>
          <w:b w:val="1"/>
          <w:bCs w:val="1"/>
          <w:rtl w:val="0"/>
        </w:rPr>
        <w:t xml:space="preserve">Fallos de Contexto:</w:t>
      </w:r>
      <w:r w:rsidDel="00000000" w:rsidR="00000000" w:rsidRPr="00000000">
        <w:rPr>
          <w:rtl w:val="0"/>
        </w:rPr>
        <w:t xml:space="preserve">  Recuperación de fuentes desactualizadas o evidencia insuficiente en el RAG (Generación Aumentada por Recuperación).</w:t>
      </w:r>
    </w:p>
    <w:p w:rsidR="00000000" w:rsidDel="00000000" w:rsidP="00000000" w:rsidRDefault="00000000" w:rsidRPr="00000000" w14:paraId="00000023">
      <w:pPr>
        <w:numPr>
          <w:ilvl w:val="0"/>
          <w:numId w:val="6"/>
        </w:numPr>
        <w:ind w:left="720" w:hanging="360"/>
        <w:rPr>
          <w:u w:val="none"/>
        </w:rPr>
      </w:pPr>
      <w:r w:rsidDel="00000000" w:rsidR="00000000" w:rsidRPr="00000000">
        <w:rPr>
          <w:b w:val="1"/>
          <w:bCs w:val="1"/>
          <w:rtl w:val="0"/>
        </w:rPr>
        <w:t xml:space="preserve">Fallos de Herramienta:</w:t>
      </w:r>
      <w:r w:rsidDel="00000000" w:rsidR="00000000" w:rsidRPr="00000000">
        <w:rPr>
          <w:rtl w:val="0"/>
        </w:rPr>
        <w:t xml:space="preserve">  APIs caídas, timeouts o denegación de permisos.</w:t>
      </w:r>
    </w:p>
    <w:p w:rsidR="00000000" w:rsidDel="00000000" w:rsidP="00000000" w:rsidRDefault="00000000" w:rsidRPr="00000000" w14:paraId="00000024">
      <w:pPr>
        <w:numPr>
          <w:ilvl w:val="0"/>
          <w:numId w:val="6"/>
        </w:numPr>
        <w:ind w:left="720" w:hanging="360"/>
        <w:rPr>
          <w:u w:val="none"/>
        </w:rPr>
      </w:pPr>
      <w:r w:rsidDel="00000000" w:rsidR="00000000" w:rsidRPr="00000000">
        <w:rPr>
          <w:b w:val="1"/>
          <w:bCs w:val="1"/>
          <w:rtl w:val="0"/>
        </w:rPr>
        <w:t xml:space="preserve">Fallos de Seguridad:</w:t>
      </w:r>
      <w:r w:rsidDel="00000000" w:rsidR="00000000" w:rsidRPr="00000000">
        <w:rPr>
          <w:rtl w:val="0"/>
        </w:rPr>
        <w:t xml:space="preserve">  Inyección de prompts (prompt injection) o intentos de extraer datos sensibles.</w:t>
      </w:r>
    </w:p>
    <w:p w:rsidR="00000000" w:rsidDel="00000000" w:rsidP="00000000" w:rsidRDefault="00000000" w:rsidRPr="00000000" w14:paraId="00000025">
      <w:pPr>
        <w:pStyle w:val="Heading5"/>
        <w:rPr/>
      </w:pPr>
      <w:bookmarkStart w:colFirst="0" w:colLast="0" w:name="_yrbi10f0u5rl" w:id="8"/>
      <w:bookmarkEnd w:id="8"/>
      <w:r w:rsidDel="00000000" w:rsidR="00000000" w:rsidRPr="00000000">
        <w:rPr>
          <w:rtl w:val="0"/>
        </w:rPr>
        <w:t xml:space="preserve">El Rol del ID de Correlación</w:t>
      </w:r>
    </w:p>
    <w:p w:rsidR="00000000" w:rsidDel="00000000" w:rsidP="00000000" w:rsidRDefault="00000000" w:rsidRPr="00000000" w14:paraId="00000026">
      <w:pPr>
        <w:rPr/>
      </w:pPr>
      <w:r w:rsidDel="00000000" w:rsidR="00000000" w:rsidRPr="00000000">
        <w:rPr>
          <w:rtl w:val="0"/>
        </w:rPr>
        <w:t xml:space="preserve">Para evitar el caos en sistemas distribuidos (ej. workflows en n8n conectados a backends en FastAPI y proveedores de LLM), el uso de un  </w:t>
      </w:r>
      <w:r w:rsidDel="00000000" w:rsidR="00000000" w:rsidRPr="00000000">
        <w:rPr>
          <w:b w:val="1"/>
          <w:bCs w:val="1"/>
          <w:rtl w:val="0"/>
        </w:rPr>
        <w:t xml:space="preserve">correlation_id</w:t>
      </w:r>
      <w:r w:rsidDel="00000000" w:rsidR="00000000" w:rsidRPr="00000000">
        <w:rPr>
          <w:rtl w:val="0"/>
        </w:rPr>
        <w:t xml:space="preserve">  es obligatorio. Este identificador debe viajar desde el webhook inicial hasta la respuesta final, permitiendo reconstruir la historia completa de una ejecución fallida sin depender de marcas de tiempo imprecisas.</w:t>
      </w:r>
    </w:p>
    <w:p w:rsidR="00000000" w:rsidDel="00000000" w:rsidP="00000000" w:rsidRDefault="00000000" w:rsidRPr="00000000" w14:paraId="00000027">
      <w:pPr>
        <w:pStyle w:val="Heading4"/>
        <w:rPr/>
      </w:pPr>
      <w:bookmarkStart w:colFirst="0" w:colLast="0" w:name="_8l7srl4p9l5v" w:id="9"/>
      <w:bookmarkEnd w:id="9"/>
      <w:r w:rsidDel="00000000" w:rsidR="00000000" w:rsidRPr="00000000">
        <w:rPr>
          <w:rtl w:val="0"/>
        </w:rPr>
        <w:t xml:space="preserve">4. Safe Observability: Privacidad y Seguridad de Datos</w:t>
      </w:r>
    </w:p>
    <w:p w:rsidR="00000000" w:rsidDel="00000000" w:rsidP="00000000" w:rsidRDefault="00000000" w:rsidRPr="00000000" w14:paraId="00000028">
      <w:pPr>
        <w:rPr/>
      </w:pPr>
      <w:r w:rsidDel="00000000" w:rsidR="00000000" w:rsidRPr="00000000">
        <w:rPr>
          <w:rtl w:val="0"/>
        </w:rPr>
        <w:t xml:space="preserve">La ingesta de prompts en plataformas de observabilidad crea un riesgo de cumplimiento (GDPR, CCPA) al capturar inadvertidamente PII. La solución propuesta es un marco de  </w:t>
      </w:r>
      <w:r w:rsidDel="00000000" w:rsidR="00000000" w:rsidRPr="00000000">
        <w:rPr>
          <w:b w:val="1"/>
          <w:bCs w:val="1"/>
          <w:rtl w:val="0"/>
        </w:rPr>
        <w:t xml:space="preserve">Safe Observability</w:t>
      </w:r>
      <w:r w:rsidDel="00000000" w:rsidR="00000000" w:rsidRPr="00000000">
        <w:rPr>
          <w:rtl w:val="0"/>
        </w:rPr>
        <w:t xml:space="preserve">  integrado en el colector de OpenTelemetry.</w:t>
      </w:r>
    </w:p>
    <w:p w:rsidR="00000000" w:rsidDel="00000000" w:rsidP="00000000" w:rsidRDefault="00000000" w:rsidRPr="00000000" w14:paraId="00000029">
      <w:pPr>
        <w:pStyle w:val="Heading5"/>
        <w:rPr/>
      </w:pPr>
      <w:bookmarkStart w:colFirst="0" w:colLast="0" w:name="_cfkq13qblstz" w:id="10"/>
      <w:bookmarkEnd w:id="10"/>
      <w:r w:rsidDel="00000000" w:rsidR="00000000" w:rsidRPr="00000000">
        <w:rPr>
          <w:rtl w:val="0"/>
        </w:rPr>
        <w:t xml:space="preserve">Estrategia de Redacción de PII</w:t>
      </w:r>
    </w:p>
    <w:p w:rsidR="00000000" w:rsidDel="00000000" w:rsidP="00000000" w:rsidRDefault="00000000" w:rsidRPr="00000000" w14:paraId="0000002A">
      <w:pPr>
        <w:rPr/>
      </w:pPr>
      <w:r w:rsidDel="00000000" w:rsidR="00000000" w:rsidRPr="00000000">
        <w:rPr>
          <w:rtl w:val="0"/>
        </w:rPr>
        <w:t xml:space="preserve">Se recomienda un enfoque híbrido y escalonado para sanitizar los datos en tránsito:</w:t>
      </w:r>
    </w:p>
    <w:p w:rsidR="00000000" w:rsidDel="00000000" w:rsidP="00000000" w:rsidRDefault="00000000" w:rsidRPr="00000000" w14:paraId="0000002B">
      <w:pPr>
        <w:numPr>
          <w:ilvl w:val="0"/>
          <w:numId w:val="2"/>
        </w:numPr>
        <w:ind w:left="720" w:hanging="360"/>
        <w:rPr>
          <w:u w:val="none"/>
        </w:rPr>
      </w:pPr>
      <w:r w:rsidDel="00000000" w:rsidR="00000000" w:rsidRPr="00000000">
        <w:rPr>
          <w:b w:val="1"/>
          <w:bCs w:val="1"/>
          <w:rtl w:val="0"/>
        </w:rPr>
        <w:t xml:space="preserve">Filtro de Expresiones Regulares (Regex):</w:t>
      </w:r>
      <w:r w:rsidDel="00000000" w:rsidR="00000000" w:rsidRPr="00000000">
        <w:rPr>
          <w:rtl w:val="0"/>
        </w:rPr>
        <w:t xml:space="preserve">  Para detectar datos estructurados con formatos predecibles (emails, números de teléfono, SSN).</w:t>
      </w:r>
    </w:p>
    <w:p w:rsidR="00000000" w:rsidDel="00000000" w:rsidP="00000000" w:rsidRDefault="00000000" w:rsidRPr="00000000" w14:paraId="0000002C">
      <w:pPr>
        <w:numPr>
          <w:ilvl w:val="0"/>
          <w:numId w:val="2"/>
        </w:numPr>
        <w:ind w:left="720" w:hanging="360"/>
        <w:rPr>
          <w:u w:val="none"/>
        </w:rPr>
      </w:pPr>
      <w:r w:rsidDel="00000000" w:rsidR="00000000" w:rsidRPr="00000000">
        <w:rPr>
          <w:b w:val="1"/>
          <w:bCs w:val="1"/>
          <w:rtl w:val="0"/>
        </w:rPr>
        <w:t xml:space="preserve">Reconocimiento de Entidades Nombradas (NER):</w:t>
      </w:r>
      <w:r w:rsidDel="00000000" w:rsidR="00000000" w:rsidRPr="00000000">
        <w:rPr>
          <w:rtl w:val="0"/>
        </w:rPr>
        <w:t xml:space="preserve">  Uso de modelos de ML (ej. spaCy, Microsoft Presidio) para identificar PII en texto no estructurado (nombres, direcciones) basándose en el contexto lingüístico.</w:t>
      </w:r>
    </w:p>
    <w:p w:rsidR="00000000" w:rsidDel="00000000" w:rsidP="00000000" w:rsidRDefault="00000000" w:rsidRPr="00000000" w14:paraId="0000002D">
      <w:pPr>
        <w:numPr>
          <w:ilvl w:val="0"/>
          <w:numId w:val="2"/>
        </w:numPr>
        <w:ind w:left="720" w:hanging="360"/>
        <w:rPr>
          <w:u w:val="none"/>
        </w:rPr>
      </w:pPr>
      <w:r w:rsidDel="00000000" w:rsidR="00000000" w:rsidRPr="00000000">
        <w:rPr>
          <w:b w:val="1"/>
          <w:bCs w:val="1"/>
          <w:rtl w:val="0"/>
        </w:rPr>
        <w:t xml:space="preserve">Políticas de Fallo:</w:t>
      </w:r>
      <w:r w:rsidDel="00000000" w:rsidR="00000000" w:rsidRPr="00000000">
        <w:rPr>
          <w:rtl w:val="0"/>
        </w:rPr>
        <w:t xml:space="preserve">  Configuración de "fallo abierto" o "fallo cerrado" en caso de que el servicio de detección no esté disponible.</w:t>
      </w:r>
    </w:p>
    <w:p w:rsidR="00000000" w:rsidDel="00000000" w:rsidP="00000000" w:rsidRDefault="00000000" w:rsidRPr="00000000" w14:paraId="0000002E">
      <w:pPr>
        <w:pStyle w:val="Heading4"/>
        <w:rPr/>
      </w:pPr>
      <w:bookmarkStart w:colFirst="0" w:colLast="0" w:name="_4enumejj19us" w:id="11"/>
      <w:bookmarkEnd w:id="11"/>
      <w:r w:rsidDel="00000000" w:rsidR="00000000" w:rsidRPr="00000000">
        <w:rPr>
          <w:rtl w:val="0"/>
        </w:rPr>
        <w:t xml:space="preserve">5. Infraestructura y Herramientas Recomendadas</w:t>
      </w:r>
    </w:p>
    <w:p w:rsidR="00000000" w:rsidDel="00000000" w:rsidP="00000000" w:rsidRDefault="00000000" w:rsidRPr="00000000" w14:paraId="0000002F">
      <w:pPr>
        <w:pStyle w:val="Heading5"/>
        <w:rPr/>
      </w:pPr>
      <w:bookmarkStart w:colFirst="0" w:colLast="0" w:name="_jleumrl98du1" w:id="12"/>
      <w:bookmarkEnd w:id="12"/>
      <w:r w:rsidDel="00000000" w:rsidR="00000000" w:rsidRPr="00000000">
        <w:rPr>
          <w:rtl w:val="0"/>
        </w:rPr>
        <w:t xml:space="preserve">AI Gateways (Pasarelas de IA)</w:t>
      </w:r>
    </w:p>
    <w:p w:rsidR="00000000" w:rsidDel="00000000" w:rsidP="00000000" w:rsidRDefault="00000000" w:rsidRPr="00000000" w14:paraId="00000030">
      <w:pPr>
        <w:rPr/>
      </w:pPr>
      <w:r w:rsidDel="00000000" w:rsidR="00000000" w:rsidRPr="00000000">
        <w:rPr>
          <w:rtl w:val="0"/>
        </w:rPr>
        <w:t xml:space="preserve">Actúan como un plano de control centralizado entre la aplicación y los modelos. Sus beneficios incluyen:</w:t>
      </w:r>
    </w:p>
    <w:p w:rsidR="00000000" w:rsidDel="00000000" w:rsidP="00000000" w:rsidRDefault="00000000" w:rsidRPr="00000000" w14:paraId="00000031">
      <w:pPr>
        <w:numPr>
          <w:ilvl w:val="0"/>
          <w:numId w:val="4"/>
        </w:numPr>
        <w:ind w:left="720" w:hanging="360"/>
        <w:rPr>
          <w:u w:val="none"/>
        </w:rPr>
      </w:pPr>
      <w:r w:rsidDel="00000000" w:rsidR="00000000" w:rsidRPr="00000000">
        <w:rPr>
          <w:b w:val="1"/>
          <w:bCs w:val="1"/>
          <w:rtl w:val="0"/>
        </w:rPr>
        <w:t xml:space="preserve">Captura Centralizada:</w:t>
      </w:r>
      <w:r w:rsidDel="00000000" w:rsidR="00000000" w:rsidRPr="00000000">
        <w:rPr>
          <w:rtl w:val="0"/>
        </w:rPr>
        <w:t xml:space="preserve">  Normaliza registros de múltiples proveedores (OpenAI, Anthropic, Azure).</w:t>
      </w:r>
    </w:p>
    <w:p w:rsidR="00000000" w:rsidDel="00000000" w:rsidP="00000000" w:rsidRDefault="00000000" w:rsidRPr="00000000" w14:paraId="00000032">
      <w:pPr>
        <w:numPr>
          <w:ilvl w:val="0"/>
          <w:numId w:val="4"/>
        </w:numPr>
        <w:ind w:left="720" w:hanging="360"/>
        <w:rPr>
          <w:u w:val="none"/>
        </w:rPr>
      </w:pPr>
      <w:r w:rsidDel="00000000" w:rsidR="00000000" w:rsidRPr="00000000">
        <w:rPr>
          <w:b w:val="1"/>
          <w:bCs w:val="1"/>
          <w:rtl w:val="0"/>
        </w:rPr>
        <w:t xml:space="preserve">Seguimiento Unificado:</w:t>
      </w:r>
      <w:r w:rsidDel="00000000" w:rsidR="00000000" w:rsidRPr="00000000">
        <w:rPr>
          <w:rtl w:val="0"/>
        </w:rPr>
        <w:t xml:space="preserve">  Inyecta identificadores de correlación automáticamente.</w:t>
      </w:r>
    </w:p>
    <w:p w:rsidR="00000000" w:rsidDel="00000000" w:rsidP="00000000" w:rsidRDefault="00000000" w:rsidRPr="00000000" w14:paraId="00000033">
      <w:pPr>
        <w:numPr>
          <w:ilvl w:val="0"/>
          <w:numId w:val="4"/>
        </w:numPr>
        <w:ind w:left="720" w:hanging="360"/>
        <w:rPr>
          <w:u w:val="none"/>
        </w:rPr>
      </w:pPr>
      <w:r w:rsidDel="00000000" w:rsidR="00000000" w:rsidRPr="00000000">
        <w:rPr>
          <w:b w:val="1"/>
          <w:bCs w:val="1"/>
          <w:rtl w:val="0"/>
        </w:rPr>
        <w:t xml:space="preserve">Gobernanza:</w:t>
      </w:r>
      <w:r w:rsidDel="00000000" w:rsidR="00000000" w:rsidRPr="00000000">
        <w:rPr>
          <w:rtl w:val="0"/>
        </w:rPr>
        <w:t xml:space="preserve">  Permite el control de costes y la rotación de claves sin tiempo de inactividad.</w:t>
      </w:r>
    </w:p>
    <w:p w:rsidR="00000000" w:rsidDel="00000000" w:rsidP="00000000" w:rsidRDefault="00000000" w:rsidRPr="00000000" w14:paraId="00000034">
      <w:pPr>
        <w:pStyle w:val="Heading5"/>
        <w:rPr/>
      </w:pPr>
      <w:bookmarkStart w:colFirst="0" w:colLast="0" w:name="_3dcxx1ulyqa4" w:id="13"/>
      <w:bookmarkEnd w:id="13"/>
      <w:r w:rsidDel="00000000" w:rsidR="00000000" w:rsidRPr="00000000">
        <w:rPr>
          <w:rtl w:val="0"/>
        </w:rPr>
        <w:t xml:space="preserve">Ecosistema de Herramientas</w:t>
      </w:r>
    </w:p>
    <w:p w:rsidR="00000000" w:rsidDel="00000000" w:rsidP="00000000" w:rsidRDefault="00000000" w:rsidRPr="00000000" w14:paraId="00000035">
      <w:pPr>
        <w:numPr>
          <w:ilvl w:val="0"/>
          <w:numId w:val="8"/>
        </w:numPr>
        <w:ind w:left="720" w:hanging="360"/>
        <w:rPr>
          <w:u w:val="none"/>
        </w:rPr>
      </w:pPr>
      <w:r w:rsidDel="00000000" w:rsidR="00000000" w:rsidRPr="00000000">
        <w:rPr>
          <w:b w:val="1"/>
          <w:bCs w:val="1"/>
          <w:rtl w:val="0"/>
        </w:rPr>
        <w:t xml:space="preserve">Visualizadores:</w:t>
      </w:r>
      <w:r w:rsidDel="00000000" w:rsidR="00000000" w:rsidRPr="00000000">
        <w:rPr>
          <w:rtl w:val="0"/>
        </w:rPr>
        <w:t xml:space="preserve">  Aspire Dashboard (local/debugging), Langfuse, LangSmith (profundo en LangChain) o Phoenix.</w:t>
      </w:r>
    </w:p>
    <w:p w:rsidR="00000000" w:rsidDel="00000000" w:rsidP="00000000" w:rsidRDefault="00000000" w:rsidRPr="00000000" w14:paraId="00000036">
      <w:pPr>
        <w:numPr>
          <w:ilvl w:val="0"/>
          <w:numId w:val="8"/>
        </w:numPr>
        <w:ind w:left="720" w:hanging="360"/>
        <w:rPr>
          <w:u w:val="none"/>
        </w:rPr>
      </w:pPr>
      <w:r w:rsidDel="00000000" w:rsidR="00000000" w:rsidRPr="00000000">
        <w:rPr>
          <w:b w:val="1"/>
          <w:bCs w:val="1"/>
          <w:rtl w:val="0"/>
        </w:rPr>
        <w:t xml:space="preserve">Instrumentación:</w:t>
      </w:r>
      <w:r w:rsidDel="00000000" w:rsidR="00000000" w:rsidRPr="00000000">
        <w:rPr>
          <w:rtl w:val="0"/>
        </w:rPr>
        <w:t xml:space="preserve">  SDK de Traceloop para correlación de trazas de alta fidelidad.</w:t>
      </w:r>
    </w:p>
    <w:p w:rsidR="00000000" w:rsidDel="00000000" w:rsidP="00000000" w:rsidRDefault="00000000" w:rsidRPr="00000000" w14:paraId="00000037">
      <w:pPr>
        <w:numPr>
          <w:ilvl w:val="0"/>
          <w:numId w:val="8"/>
        </w:numPr>
        <w:ind w:left="720" w:hanging="360"/>
        <w:rPr>
          <w:u w:val="none"/>
        </w:rPr>
      </w:pPr>
      <w:r w:rsidDel="00000000" w:rsidR="00000000" w:rsidRPr="00000000">
        <w:rPr>
          <w:b w:val="1"/>
          <w:bCs w:val="1"/>
          <w:rtl w:val="0"/>
        </w:rPr>
        <w:t xml:space="preserve">Monitoreo de Producción:</w:t>
      </w:r>
      <w:r w:rsidDel="00000000" w:rsidR="00000000" w:rsidRPr="00000000">
        <w:rPr>
          <w:rtl w:val="0"/>
        </w:rPr>
        <w:t xml:space="preserve">  Azure Monitor Application Insights y Microsoft Sentinel para detección de abuso.</w:t>
      </w:r>
    </w:p>
    <w:p w:rsidR="00000000" w:rsidDel="00000000" w:rsidP="00000000" w:rsidRDefault="00000000" w:rsidRPr="00000000" w14:paraId="00000038">
      <w:pPr>
        <w:pStyle w:val="Heading4"/>
        <w:rPr/>
      </w:pPr>
      <w:bookmarkStart w:colFirst="0" w:colLast="0" w:name="_qtf23jgyygol" w:id="14"/>
      <w:bookmarkEnd w:id="14"/>
      <w:r w:rsidDel="00000000" w:rsidR="00000000" w:rsidRPr="00000000">
        <w:rPr>
          <w:rtl w:val="0"/>
        </w:rPr>
        <w:t xml:space="preserve">6. Hoja de Ruta Mínima para la Implementación</w:t>
      </w:r>
    </w:p>
    <w:p w:rsidR="00000000" w:rsidDel="00000000" w:rsidP="00000000" w:rsidRDefault="00000000" w:rsidRPr="00000000" w14:paraId="00000039">
      <w:pPr>
        <w:rPr/>
      </w:pPr>
      <w:r w:rsidDel="00000000" w:rsidR="00000000" w:rsidRPr="00000000">
        <w:rPr>
          <w:rtl w:val="0"/>
        </w:rPr>
        <w:t xml:space="preserve">Para equipos que inician con agentes en producción, se recomienda seguir esta ruta mínima para cubrir el 80% del valor operativo:</w:t>
      </w:r>
    </w:p>
    <w:p w:rsidR="00000000" w:rsidDel="00000000" w:rsidP="00000000" w:rsidRDefault="00000000" w:rsidRPr="00000000" w14:paraId="0000003A">
      <w:pPr>
        <w:numPr>
          <w:ilvl w:val="0"/>
          <w:numId w:val="7"/>
        </w:numPr>
        <w:ind w:left="720" w:hanging="360"/>
        <w:rPr>
          <w:u w:val="none"/>
        </w:rPr>
      </w:pPr>
      <w:r w:rsidDel="00000000" w:rsidR="00000000" w:rsidRPr="00000000">
        <w:rPr>
          <w:b w:val="1"/>
          <w:bCs w:val="1"/>
          <w:rtl w:val="0"/>
        </w:rPr>
        <w:t xml:space="preserve">Instrumentación Automática:</w:t>
      </w:r>
      <w:r w:rsidDel="00000000" w:rsidR="00000000" w:rsidRPr="00000000">
        <w:rPr>
          <w:rtl w:val="0"/>
        </w:rPr>
        <w:t xml:space="preserve">  Activar OpenTelemetry en el SDK del modelo (OpenAI, Anthropic, etc.) utilizando las convenciones semánticas de GenAI.</w:t>
      </w:r>
    </w:p>
    <w:p w:rsidR="00000000" w:rsidDel="00000000" w:rsidP="00000000" w:rsidRDefault="00000000" w:rsidRPr="00000000" w14:paraId="0000003B">
      <w:pPr>
        <w:numPr>
          <w:ilvl w:val="0"/>
          <w:numId w:val="7"/>
        </w:numPr>
        <w:ind w:left="720" w:hanging="360"/>
        <w:rPr>
          <w:u w:val="none"/>
        </w:rPr>
      </w:pPr>
      <w:r w:rsidDel="00000000" w:rsidR="00000000" w:rsidRPr="00000000">
        <w:rPr>
          <w:b w:val="1"/>
          <w:bCs w:val="1"/>
          <w:rtl w:val="0"/>
        </w:rPr>
        <w:t xml:space="preserve">Backend Especializado:</w:t>
      </w:r>
      <w:r w:rsidDel="00000000" w:rsidR="00000000" w:rsidRPr="00000000">
        <w:rPr>
          <w:rtl w:val="0"/>
        </w:rPr>
        <w:t xml:space="preserve">  Enviar las trazas a una plataforma que entienda conversaciones (ej. Langfuse) para visualizar la jerarquía de llamadas.</w:t>
      </w:r>
    </w:p>
    <w:p w:rsidR="00000000" w:rsidDel="00000000" w:rsidP="00000000" w:rsidRDefault="00000000" w:rsidRPr="00000000" w14:paraId="0000003C">
      <w:pPr>
        <w:numPr>
          <w:ilvl w:val="0"/>
          <w:numId w:val="7"/>
        </w:numPr>
        <w:ind w:left="720" w:hanging="360"/>
        <w:rPr>
          <w:u w:val="none"/>
        </w:rPr>
      </w:pPr>
      <w:r w:rsidDel="00000000" w:rsidR="00000000" w:rsidRPr="00000000">
        <w:rPr>
          <w:b w:val="1"/>
          <w:bCs w:val="1"/>
          <w:rtl w:val="0"/>
        </w:rPr>
        <w:t xml:space="preserve">Panel de Control de Negocio:</w:t>
      </w:r>
      <w:r w:rsidDel="00000000" w:rsidR="00000000" w:rsidRPr="00000000">
        <w:rPr>
          <w:rtl w:val="0"/>
        </w:rPr>
        <w:t xml:space="preserve">  Definir y monitorear las cinco métricas básicas (especialmente coste y latencia).</w:t>
      </w:r>
    </w:p>
    <w:p w:rsidR="00000000" w:rsidDel="00000000" w:rsidP="00000000" w:rsidRDefault="00000000" w:rsidRPr="00000000" w14:paraId="0000003D">
      <w:pPr>
        <w:numPr>
          <w:ilvl w:val="0"/>
          <w:numId w:val="7"/>
        </w:numPr>
        <w:ind w:left="720" w:hanging="360"/>
        <w:rPr>
          <w:u w:val="none"/>
        </w:rPr>
      </w:pPr>
      <w:r w:rsidDel="00000000" w:rsidR="00000000" w:rsidRPr="00000000">
        <w:rPr>
          <w:b w:val="1"/>
          <w:bCs w:val="1"/>
          <w:rtl w:val="0"/>
        </w:rPr>
        <w:t xml:space="preserve">Evaluación de Muestras:</w:t>
      </w:r>
      <w:r w:rsidDel="00000000" w:rsidR="00000000" w:rsidRPr="00000000">
        <w:rPr>
          <w:rtl w:val="0"/>
        </w:rPr>
        <w:t xml:space="preserve">  Instalar un sistema de evaluación automática sencillo (LLM juez) sobre una muestra del tráfico para detectar desviaciones de calidad.</w:t>
      </w:r>
    </w:p>
    <w:p w:rsidR="00000000" w:rsidDel="00000000" w:rsidP="00000000" w:rsidRDefault="00000000" w:rsidRPr="00000000" w14:paraId="0000003E">
      <w:pPr>
        <w:numPr>
          <w:ilvl w:val="0"/>
          <w:numId w:val="7"/>
        </w:numPr>
        <w:ind w:left="720" w:hanging="360"/>
        <w:rPr>
          <w:u w:val="none"/>
        </w:rPr>
      </w:pPr>
      <w:r w:rsidDel="00000000" w:rsidR="00000000" w:rsidRPr="00000000">
        <w:rPr>
          <w:b w:val="1"/>
          <w:bCs w:val="1"/>
          <w:rtl w:val="0"/>
        </w:rPr>
        <w:t xml:space="preserve">Depuración Basada en Argumentos:</w:t>
      </w:r>
      <w:r w:rsidDel="00000000" w:rsidR="00000000" w:rsidRPr="00000000">
        <w:rPr>
          <w:rtl w:val="0"/>
        </w:rPr>
        <w:t xml:space="preserve">  Registrar los argumentos exactos elegidos por el modelo  </w:t>
      </w:r>
      <w:r w:rsidDel="00000000" w:rsidR="00000000" w:rsidRPr="00000000">
        <w:rPr>
          <w:b w:val="1"/>
          <w:bCs w:val="1"/>
          <w:rtl w:val="0"/>
        </w:rPr>
        <w:t xml:space="preserve">antes</w:t>
      </w:r>
      <w:r w:rsidDel="00000000" w:rsidR="00000000" w:rsidRPr="00000000">
        <w:rPr>
          <w:rtl w:val="0"/>
        </w:rPr>
        <w:t xml:space="preserve">  de ejecutar cualquier herramienta, ya que los fallos silenciosos suelen derivar de construcciones de argumentos erróneas.</w:t>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