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3xati2qkjtw" w:id="0"/>
      <w:bookmarkEnd w:id="0"/>
      <w:r w:rsidDel="00000000" w:rsidR="00000000" w:rsidRPr="00000000">
        <w:rPr>
          <w:rtl w:val="0"/>
        </w:rPr>
        <w:t xml:space="preserve">Decodificación y Generación de Salidas Estructuradas en Modelos de Lenguaje de Gran Escala (LLM): Un Análisis Técnico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b0ugn8klm89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evolución de los Modelos de Lenguaje de Gran Escala (LLM) ha pasado de la generación de texto libre a la necesidad crítica de producir salidas estructuradas y deterministas (JSON, código, esquemas específicos). Este documento sintetiza los avances en  </w:t>
      </w:r>
      <w:r w:rsidDel="00000000" w:rsidR="00000000" w:rsidRPr="00000000">
        <w:rPr>
          <w:b w:val="1"/>
          <w:bCs w:val="1"/>
          <w:rtl w:val="0"/>
        </w:rPr>
        <w:t xml:space="preserve">Decodificación Restringida por Gramática (GCD)</w:t>
      </w:r>
      <w:r w:rsidDel="00000000" w:rsidR="00000000" w:rsidRPr="00000000">
        <w:rPr>
          <w:rtl w:val="0"/>
        </w:rPr>
        <w:t xml:space="preserve"> , metodologías de implementación en proveedores líderes y estrategias de validación en entornos de producción.Los hallazgos clave incluyen: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Eficiencia Técnica:</w:t>
      </w:r>
      <w:r w:rsidDel="00000000" w:rsidR="00000000" w:rsidRPr="00000000">
        <w:rPr>
          <w:rtl w:val="0"/>
        </w:rPr>
        <w:t xml:space="preserve">  Algoritmos emergentes como  </w:t>
      </w:r>
      <w:r w:rsidDel="00000000" w:rsidR="00000000" w:rsidRPr="00000000">
        <w:rPr>
          <w:b w:val="1"/>
          <w:bCs w:val="1"/>
          <w:rtl w:val="0"/>
        </w:rPr>
        <w:t xml:space="preserve">GREATGRAMMA</w:t>
      </w:r>
      <w:r w:rsidDel="00000000" w:rsidR="00000000" w:rsidRPr="00000000">
        <w:rPr>
          <w:rtl w:val="0"/>
        </w:rPr>
        <w:t xml:space="preserve">  superan las limitaciones de latencia mediante el preprocesamiento de tablas de expansión de tokens, logrando una eficiencia 17.71 veces superior a métodos previos.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Paradoja del Rendimiento:</w:t>
      </w:r>
      <w:r w:rsidDel="00000000" w:rsidR="00000000" w:rsidRPr="00000000">
        <w:rPr>
          <w:rtl w:val="0"/>
        </w:rPr>
        <w:t xml:space="preserve">  El uso de estrategias de  </w:t>
      </w:r>
      <w:r w:rsidDel="00000000" w:rsidR="00000000" w:rsidRPr="00000000">
        <w:rPr>
          <w:i w:val="1"/>
          <w:i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 adecuadas es más determinante para la validez estructural que el tamaño del modelo (parámetros).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Dualidad de Validación:</w:t>
      </w:r>
      <w:r w:rsidDel="00000000" w:rsidR="00000000" w:rsidRPr="00000000">
        <w:rPr>
          <w:rtl w:val="0"/>
        </w:rPr>
        <w:t xml:space="preserve">  Los sistemas de producción deben distinguir entre la  </w:t>
      </w:r>
      <w:r w:rsidDel="00000000" w:rsidR="00000000" w:rsidRPr="00000000">
        <w:rPr>
          <w:b w:val="1"/>
          <w:bCs w:val="1"/>
          <w:rtl w:val="0"/>
        </w:rPr>
        <w:t xml:space="preserve">validez estructural</w:t>
      </w:r>
      <w:r w:rsidDel="00000000" w:rsidR="00000000" w:rsidRPr="00000000">
        <w:rPr>
          <w:rtl w:val="0"/>
        </w:rPr>
        <w:t xml:space="preserve">  (cumplimiento del esquema) y la  </w:t>
      </w:r>
      <w:r w:rsidDel="00000000" w:rsidR="00000000" w:rsidRPr="00000000">
        <w:rPr>
          <w:b w:val="1"/>
          <w:bCs w:val="1"/>
          <w:rtl w:val="0"/>
        </w:rPr>
        <w:t xml:space="preserve">corrección semántica</w:t>
      </w:r>
      <w:r w:rsidDel="00000000" w:rsidR="00000000" w:rsidRPr="00000000">
        <w:rPr>
          <w:rtl w:val="0"/>
        </w:rPr>
        <w:t xml:space="preserve">  (veracidad de los datos), ya que la primera no garantiza la segunda.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Estandarización de Herramientas:</w:t>
      </w:r>
      <w:r w:rsidDel="00000000" w:rsidR="00000000" w:rsidRPr="00000000">
        <w:rPr>
          <w:rtl w:val="0"/>
        </w:rPr>
        <w:t xml:space="preserve">  Librerías como  </w:t>
      </w:r>
      <w:r w:rsidDel="00000000" w:rsidR="00000000" w:rsidRPr="00000000">
        <w:rPr>
          <w:i w:val="1"/>
          <w:i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 y  </w:t>
      </w:r>
      <w:r w:rsidDel="00000000" w:rsidR="00000000" w:rsidRPr="00000000">
        <w:rPr>
          <w:i w:val="1"/>
          <w:i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 están normalizando la extracción de datos mediante el uso de modelos de Pydantic y estrategias nativas de proveedores.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arwjsh9amr59" w:id="2"/>
      <w:bookmarkEnd w:id="2"/>
      <w:r w:rsidDel="00000000" w:rsidR="00000000" w:rsidRPr="00000000">
        <w:rPr>
          <w:rtl w:val="0"/>
        </w:rPr>
        <w:t xml:space="preserve">1. Decodificación Restringida por Gramática (GCD) y Eficiencia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GCD garantiza que las salidas de los LLM cumplan con reglas sintácticas precisas mediante el enmascaramiento de tokens que no pertenecen a una gramática libre de contexto (CFG) específica.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5lm3qdvd7qk2" w:id="3"/>
      <w:bookmarkEnd w:id="3"/>
      <w:r w:rsidDel="00000000" w:rsidR="00000000" w:rsidRPr="00000000">
        <w:rPr>
          <w:rtl w:val="0"/>
        </w:rPr>
        <w:t xml:space="preserve">El Desafío de la Desalineación de Tokens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 obstáculo fundamental es que los  </w:t>
      </w:r>
      <w:r w:rsidDel="00000000" w:rsidR="00000000" w:rsidRPr="00000000">
        <w:rPr>
          <w:b w:val="1"/>
          <w:bCs w:val="1"/>
          <w:rtl w:val="0"/>
        </w:rPr>
        <w:t xml:space="preserve">tokenizadores de subpalabras</w:t>
      </w:r>
      <w:r w:rsidDel="00000000" w:rsidR="00000000" w:rsidRPr="00000000">
        <w:rPr>
          <w:rtl w:val="0"/>
        </w:rPr>
        <w:t xml:space="preserve">  de los LLM no coinciden con los terminales utilizados por los analizadores sintácticos ( </w:t>
      </w:r>
      <w:r w:rsidDel="00000000" w:rsidR="00000000" w:rsidRPr="00000000">
        <w:rPr>
          <w:i w:val="1"/>
          <w:iCs w:val="1"/>
          <w:rtl w:val="0"/>
        </w:rPr>
        <w:t xml:space="preserve">parsers</w:t>
      </w:r>
      <w:r w:rsidDel="00000000" w:rsidR="00000000" w:rsidRPr="00000000">
        <w:rPr>
          <w:rtl w:val="0"/>
        </w:rPr>
        <w:t xml:space="preserve"> ). Esto históricamente ha forzado una elección entre: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Alta sobrecarga en línea:</w:t>
      </w:r>
      <w:r w:rsidDel="00000000" w:rsidR="00000000" w:rsidRPr="00000000">
        <w:rPr>
          <w:rtl w:val="0"/>
        </w:rPr>
        <w:t xml:space="preserve">  Más de 1 segundo por token durante el enmascaramiento.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Alta sobrecarga fuera de línea:</w:t>
      </w:r>
      <w:r w:rsidDel="00000000" w:rsidR="00000000" w:rsidRPr="00000000">
        <w:rPr>
          <w:rtl w:val="0"/>
        </w:rPr>
        <w:t xml:space="preserve">  Más de 30 minutos para precomputar tablas de búsqueda.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a86zmyyibsnp" w:id="4"/>
      <w:bookmarkEnd w:id="4"/>
      <w:r w:rsidDel="00000000" w:rsidR="00000000" w:rsidRPr="00000000">
        <w:rPr>
          <w:rtl w:val="0"/>
        </w:rPr>
        <w:t xml:space="preserve">La Innovación de GREATGRAMMA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algoritmo GREATGRAMMA introduce una  </w:t>
      </w:r>
      <w:r w:rsidDel="00000000" w:rsidR="00000000" w:rsidRPr="00000000">
        <w:rPr>
          <w:b w:val="1"/>
          <w:bCs w:val="1"/>
          <w:rtl w:val="0"/>
        </w:rPr>
        <w:t xml:space="preserve">tabla de expansión de tokens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token spanner table</w:t>
      </w:r>
      <w:r w:rsidDel="00000000" w:rsidR="00000000" w:rsidRPr="00000000">
        <w:rPr>
          <w:rtl w:val="0"/>
        </w:rPr>
        <w:t xml:space="preserve"> ) que precomputa el mapeo entre secuencias de terminales CFG y tokens de LLM individuales.| Métrica | Resultado GREATGRAMMA | Comparativa vs. Baselines || ------ | ------ | ------ || Preprocesamiento Offline | Promedio 24-260 segundos | 17.71x más rápido que SYNCODE || Enmascaramiento Online | 5 - 32 ms por token | El más eficiente del estado del arte || Implementación | ~900 líneas de Python | Supera en robustez a herramientas con errores de integridad |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bbyk7xqwm2kj" w:id="5"/>
      <w:bookmarkEnd w:id="5"/>
      <w:r w:rsidDel="00000000" w:rsidR="00000000" w:rsidRPr="00000000">
        <w:rPr>
          <w:rtl w:val="0"/>
        </w:rPr>
        <w:t xml:space="preserve">2. Estrategias de Salida Estructurada en Proveedores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Los proveedores de modelos han implementado mecanismos nativos para forzar el cumplimiento de esquemas JSON.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ooc0p5u6i28o" w:id="6"/>
      <w:bookmarkEnd w:id="6"/>
      <w:r w:rsidDel="00000000" w:rsidR="00000000" w:rsidRPr="00000000">
        <w:rPr>
          <w:rtl w:val="0"/>
        </w:rPr>
        <w:t xml:space="preserve">Implementaciones por Proveedor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OpenAI / Azure OpenAI:</w:t>
      </w:r>
      <w:r w:rsidDel="00000000" w:rsidR="00000000" w:rsidRPr="00000000">
        <w:rPr>
          <w:rtl w:val="0"/>
        </w:rPr>
        <w:t xml:space="preserve">  Utilizan el parámetro strict: true en el esquema JSON. Esto asegura que el modelo siga exactamente el esquema definido mediante decodificación restringida.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Anthropic (Claude):</w:t>
      </w:r>
      <w:r w:rsidDel="00000000" w:rsidR="00000000" w:rsidRPr="00000000">
        <w:rPr>
          <w:rtl w:val="0"/>
        </w:rPr>
        <w:t xml:space="preserve">  Emplea el uso de herramientas ( </w:t>
      </w:r>
      <w:r w:rsidDel="00000000" w:rsidR="00000000" w:rsidRPr="00000000">
        <w:rPr>
          <w:i w:val="1"/>
          <w:iCs w:val="1"/>
          <w:rtl w:val="0"/>
        </w:rPr>
        <w:t xml:space="preserve">tool use</w:t>
      </w:r>
      <w:r w:rsidDel="00000000" w:rsidR="00000000" w:rsidRPr="00000000">
        <w:rPr>
          <w:rtl w:val="0"/>
        </w:rPr>
        <w:t xml:space="preserve"> ) con un input_schema. Se fuerza al modelo a "llamar a una herramienta" para devolver los datos estructurados.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Google Gemini:</w:t>
      </w:r>
      <w:r w:rsidDel="00000000" w:rsidR="00000000" w:rsidRPr="00000000">
        <w:rPr>
          <w:rtl w:val="0"/>
        </w:rPr>
        <w:t xml:space="preserve">  Utiliza response_mime_type: application/json junto con response_json_schema.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yj8es58h3p57" w:id="7"/>
      <w:bookmarkEnd w:id="7"/>
      <w:r w:rsidDel="00000000" w:rsidR="00000000" w:rsidRPr="00000000">
        <w:rPr>
          <w:rtl w:val="0"/>
        </w:rPr>
        <w:t xml:space="preserve">Limitaciones de los Esquemas en Azure OpenAI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soporte de esquemas JSON en entornos empresariales presenta restricciones técnicas específicas: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Profundidad:</w:t>
      </w:r>
      <w:r w:rsidDel="00000000" w:rsidR="00000000" w:rsidRPr="00000000">
        <w:rPr>
          <w:rtl w:val="0"/>
        </w:rPr>
        <w:t xml:space="preserve">  Máximo de 5 niveles de anidamiento.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Propiedades:</w:t>
      </w:r>
      <w:r w:rsidDel="00000000" w:rsidR="00000000" w:rsidRPr="00000000">
        <w:rPr>
          <w:rtl w:val="0"/>
        </w:rPr>
        <w:t xml:space="preserve">  Un máximo de 100 propiedades de objeto en total.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Obligatoriedad:</w:t>
      </w:r>
      <w:r w:rsidDel="00000000" w:rsidR="00000000" w:rsidRPr="00000000">
        <w:rPr>
          <w:rtl w:val="0"/>
        </w:rPr>
        <w:t xml:space="preserve">  Todos los campos deben marcarse como requeridos (required). Para parámetros opcionales, se debe emular mediante un tipo de unión con null.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Palabras clave no soportadas:</w:t>
      </w:r>
      <w:r w:rsidDel="00000000" w:rsidR="00000000" w:rsidRPr="00000000">
        <w:rPr>
          <w:rtl w:val="0"/>
        </w:rPr>
        <w:t xml:space="preserve">  No admite minLength, maxLength, pattern, minimum, maximum, entre otros.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xxi6hx2gwrmj" w:id="8"/>
      <w:bookmarkEnd w:id="8"/>
      <w:r w:rsidDel="00000000" w:rsidR="00000000" w:rsidRPr="00000000">
        <w:rPr>
          <w:rtl w:val="0"/>
        </w:rPr>
        <w:t xml:space="preserve">3. Marcos de Trabajo (Frameworks) y Librerías de Orquestación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Existen herramientas diseñadas para simplificar la interacción entre el desarrollador y las APIs de los modelos.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cyt22xcvnijh" w:id="9"/>
      <w:bookmarkEnd w:id="9"/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 una librería multiplataforma (Python, TS, Go, Ruby) construida sobre  </w:t>
      </w: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 Reintentos automáticos si la validación falla, validación de datos integrada y soporte para transmisión (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) de objetos parciales.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Filosofía:</w:t>
      </w:r>
      <w:r w:rsidDel="00000000" w:rsidR="00000000" w:rsidRPr="00000000">
        <w:rPr>
          <w:rtl w:val="0"/>
        </w:rPr>
        <w:t xml:space="preserve">  "Instructor para extracción, PydanticAI para agentes". Se centra en la rapidez y en esquemas definidos primero.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xfi0oj5bj7i4" w:id="10"/>
      <w:bookmarkEnd w:id="10"/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Utiliza la función create_agent con response_format para capturar y validar respuestas automáticamente.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Nativa (ProviderStrategy):</w:t>
      </w:r>
      <w:r w:rsidDel="00000000" w:rsidR="00000000" w:rsidRPr="00000000">
        <w:rPr>
          <w:rtl w:val="0"/>
        </w:rPr>
        <w:t xml:space="preserve">  Se usa si el modelo soporta salidas estructuradas nativas (OpenAI, Anthropic, Gemini).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de Herramientas (ToolStrategy):</w:t>
      </w:r>
      <w:r w:rsidDel="00000000" w:rsidR="00000000" w:rsidRPr="00000000">
        <w:rPr>
          <w:rtl w:val="0"/>
        </w:rPr>
        <w:t xml:space="preserve">  Se usa como respaldo (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) para modelos que solo admiten llamadas a funciones.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8pwnb8dgcilr" w:id="11"/>
      <w:bookmarkEnd w:id="11"/>
      <w:r w:rsidDel="00000000" w:rsidR="00000000" w:rsidRPr="00000000">
        <w:rPr>
          <w:rtl w:val="0"/>
        </w:rPr>
        <w:t xml:space="preserve">4. Benchmarking y Evaluación: LLMStructBench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estudio de  </w:t>
      </w:r>
      <w:r w:rsidDel="00000000" w:rsidR="00000000" w:rsidRPr="00000000">
        <w:rPr>
          <w:b w:val="1"/>
          <w:bCs w:val="1"/>
          <w:rtl w:val="0"/>
        </w:rPr>
        <w:t xml:space="preserve">LLMStructBench</w:t>
      </w:r>
      <w:r w:rsidDel="00000000" w:rsidR="00000000" w:rsidRPr="00000000">
        <w:rPr>
          <w:rtl w:val="0"/>
        </w:rPr>
        <w:t xml:space="preserve">  analizó 22 modelos de código abierto y 5 estrategias de  </w:t>
      </w:r>
      <w:r w:rsidDel="00000000" w:rsidR="00000000" w:rsidRPr="00000000">
        <w:rPr>
          <w:i w:val="1"/>
          <w:i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 para determinar la fiabilidad de la extracción.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mqfhgzmw8zgf" w:id="12"/>
      <w:bookmarkEnd w:id="12"/>
      <w:r w:rsidDel="00000000" w:rsidR="00000000" w:rsidRPr="00000000">
        <w:rPr>
          <w:rtl w:val="0"/>
        </w:rPr>
        <w:t xml:space="preserve">Métricas de Calidad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F1 Micro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$F1_{micro}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Evalúa la precisión a nivel de token (claves y valores). Otorga crédito parcial por desviaciones menores (distancia de Levenshtein) o tipos coercibles (ej. cadena "42" vs entero 42).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 Micro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$DOC_{micro}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Mide el éxito a nivel de documento. Solo cuenta como éxito si la generación es completamente correcta y válida según el esquema.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y2eeohva202c" w:id="13"/>
      <w:bookmarkEnd w:id="13"/>
      <w:r w:rsidDel="00000000" w:rsidR="00000000" w:rsidRPr="00000000">
        <w:rPr>
          <w:rtl w:val="0"/>
        </w:rPr>
        <w:t xml:space="preserve">Hallazgos Principales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Importancia del Prompting:</w:t>
      </w:r>
      <w:r w:rsidDel="00000000" w:rsidR="00000000" w:rsidRPr="00000000">
        <w:rPr>
          <w:rtl w:val="0"/>
        </w:rPr>
        <w:t xml:space="preserve">  Elegir la estrategia de  </w:t>
      </w:r>
      <w:r w:rsidDel="00000000" w:rsidR="00000000" w:rsidRPr="00000000">
        <w:rPr>
          <w:i w:val="1"/>
          <w:i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 correcta es más crucial que el tamaño del modelo. Modelos pequeños con el  </w:t>
      </w:r>
      <w:r w:rsidDel="00000000" w:rsidR="00000000" w:rsidRPr="00000000">
        <w:rPr>
          <w:i w:val="1"/>
          <w:i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  adecuado pueden superar a modelos grandes en validez estructural.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Compromiso Estructural vs. Semántico:</w:t>
      </w:r>
      <w:r w:rsidDel="00000000" w:rsidR="00000000" w:rsidRPr="00000000">
        <w:rPr>
          <w:rtl w:val="0"/>
        </w:rPr>
        <w:t xml:space="preserve">  Las estrategias que fuerzan la validez estructural pueden, en ocasiones, aumentar los errores semánticos (datos incorrectos dentro de una estructura perfecta).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Ranking de Modelos:</w:t>
      </w:r>
      <w:r w:rsidDel="00000000" w:rsidR="00000000" w:rsidRPr="00000000">
        <w:rPr>
          <w:rtl w:val="0"/>
        </w:rPr>
        <w:t xml:space="preserve">  Los modelos de las familias Qwen, DeepSeek-R1 y Llama (especialmente las versiones de 70B) lideran en fiabilidad estructural.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31fxhqgfx6gt" w:id="14"/>
      <w:bookmarkEnd w:id="14"/>
      <w:r w:rsidDel="00000000" w:rsidR="00000000" w:rsidRPr="00000000">
        <w:rPr>
          <w:rtl w:val="0"/>
        </w:rPr>
        <w:t xml:space="preserve">5. Mejores Prácticas y Desafíos en Producción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generación de salidas estructuradas no es infalible y requiere una arquitectura de soporte robusta.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dypcb76szsb3" w:id="15"/>
      <w:bookmarkEnd w:id="15"/>
      <w:r w:rsidDel="00000000" w:rsidR="00000000" w:rsidRPr="00000000">
        <w:rPr>
          <w:rtl w:val="0"/>
        </w:rPr>
        <w:t xml:space="preserve">Lo que las Salidas Estructuradas NO Solucionan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estructura  </w:t>
      </w:r>
      <w:r w:rsidDel="00000000" w:rsidR="00000000" w:rsidRPr="00000000">
        <w:rPr>
          <w:b w:val="1"/>
          <w:bCs w:val="1"/>
          <w:rtl w:val="0"/>
        </w:rPr>
        <w:t xml:space="preserve">no garantiza la veracidad</w:t>
      </w:r>
      <w:r w:rsidDel="00000000" w:rsidR="00000000" w:rsidRPr="00000000">
        <w:rPr>
          <w:rtl w:val="0"/>
        </w:rPr>
        <w:t xml:space="preserve"> . Un JSON puede ser perfectamente válido sintácticamente pero contener alucinaciones o datos erróneos extraídos del contexto.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yqwu4quzbixj" w:id="16"/>
      <w:bookmarkEnd w:id="16"/>
      <w:r w:rsidDel="00000000" w:rsidR="00000000" w:rsidRPr="00000000">
        <w:rPr>
          <w:rtl w:val="0"/>
        </w:rPr>
        <w:t xml:space="preserve">Recomendaciones de Diseño de Esquemas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Nombres de Campos Descriptivos:</w:t>
      </w:r>
      <w:r w:rsidDel="00000000" w:rsidR="00000000" w:rsidRPr="00000000">
        <w:rPr>
          <w:rtl w:val="0"/>
        </w:rPr>
        <w:t xml:space="preserve">  En lugar de f1, usar confidence_score_0_to_1. Las descripciones dentro del esquema actúan como instrucciones para el modelo.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de Enums:</w:t>
      </w:r>
      <w:r w:rsidDel="00000000" w:rsidR="00000000" w:rsidRPr="00000000">
        <w:rPr>
          <w:rtl w:val="0"/>
        </w:rPr>
        <w:t xml:space="preserve">  Limitan las opciones del modelo a nivel de token, previniendo categorías inventadas.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Esquemas Planos:</w:t>
      </w:r>
      <w:r w:rsidDel="00000000" w:rsidR="00000000" w:rsidRPr="00000000">
        <w:rPr>
          <w:rtl w:val="0"/>
        </w:rPr>
        <w:t xml:space="preserve">  Los esquemas con poco anidamiento son más rápidos de procesar y menos propensos a errores de decodificación.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Manejo de Errores:</w:t>
      </w:r>
      <w:r w:rsidDel="00000000" w:rsidR="00000000" w:rsidRPr="00000000">
        <w:rPr>
          <w:rtl w:val="0"/>
        </w:rPr>
        <w:t xml:space="preserve">  Se recomienda registrar el contexto completo (prompt, versión del modelo, respuesta cruda y fallo específico) para depurar picos de validación.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zbebbyn5i9nu" w:id="17"/>
      <w:bookmarkEnd w:id="17"/>
      <w:r w:rsidDel="00000000" w:rsidR="00000000" w:rsidRPr="00000000">
        <w:rPr>
          <w:rtl w:val="0"/>
        </w:rPr>
        <w:t xml:space="preserve">Optimización de Costos y Latencia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aplicación de restricciones gramaticales añade sobrecarga de tokens y tiempo de procesamiento. Para optimizar: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modelos rápidos (Gemini Flash, GPT-mini, Claude Haiku) para tareas de clasificación simples.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Reservar modelos frontera (GPT-5, Claude Opus) para extracciones complejas que requieran razonamiento profundo.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