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53lpl9ze5t5" w:id="0"/>
      <w:bookmarkEnd w:id="0"/>
      <w:r w:rsidDel="00000000" w:rsidR="00000000" w:rsidRPr="00000000">
        <w:rPr>
          <w:rtl w:val="0"/>
        </w:rPr>
        <w:t xml:space="preserve">Mecánica de las Alucinaciones, Razonamiento y Optimización de Prompts en Modelos de Lenguaje (2026)</w:t>
      </w:r>
    </w:p>
    <w:p w:rsidR="00000000" w:rsidDel="00000000" w:rsidP="00000000" w:rsidRDefault="00000000" w:rsidRPr="00000000" w14:paraId="00000002">
      <w:pPr>
        <w:pStyle w:val="Heading4"/>
        <w:rPr/>
      </w:pPr>
      <w:bookmarkStart w:colFirst="0" w:colLast="0" w:name="_lup4didteku4"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presente informe sintetiza las investigaciones y metodologías de vanguardia al año 2026 sobre el comportamiento de los Grandes Modelos de Lenguaje (LLM). Los hallazgos principales revelan que las  </w:t>
      </w:r>
      <w:r w:rsidDel="00000000" w:rsidR="00000000" w:rsidRPr="00000000">
        <w:rPr>
          <w:b w:val="1"/>
          <w:bCs w:val="1"/>
          <w:rtl w:val="0"/>
        </w:rPr>
        <w:t xml:space="preserve">alucinaciones</w:t>
      </w:r>
      <w:r w:rsidDel="00000000" w:rsidR="00000000" w:rsidRPr="00000000">
        <w:rPr>
          <w:rtl w:val="0"/>
        </w:rPr>
        <w:t xml:space="preserve">  no son errores aleatorios, sino subproductos inherentes a la arquitectura de predicción de tokens, donde la coherencia lingüística suele imponerse a la veracidad fáctica.Un descubrimiento crítico es el concepto de  </w:t>
      </w:r>
      <w:r w:rsidDel="00000000" w:rsidR="00000000" w:rsidRPr="00000000">
        <w:rPr>
          <w:b w:val="1"/>
          <w:bCs w:val="1"/>
          <w:rtl w:val="0"/>
        </w:rPr>
        <w:t xml:space="preserve">Presión Semántica (</w:t>
      </w:r>
      <w:r w:rsidDel="00000000" w:rsidR="00000000" w:rsidRPr="00000000">
        <w:rPr>
          <w:rtl w:val="0"/>
        </w:rPr>
        <w:t xml:space="preserve">  </w:t>
      </w:r>
      <w:r w:rsidDel="00000000" w:rsidR="00000000" w:rsidRPr="00000000">
        <w:rPr>
          <w:b w:val="1"/>
          <w:bCs w:val="1"/>
          <w:rtl w:val="0"/>
        </w:rPr>
        <w:t xml:space="preserve">$P_0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que explica por qué las instrucciones negativas ("no uses la palabra X") fallan en el 87.5% de los casos debido al  </w:t>
      </w:r>
      <w:r w:rsidDel="00000000" w:rsidR="00000000" w:rsidRPr="00000000">
        <w:rPr>
          <w:b w:val="1"/>
          <w:bCs w:val="1"/>
          <w:rtl w:val="0"/>
        </w:rPr>
        <w:t xml:space="preserve">efecto de primado (priming)</w:t>
      </w:r>
      <w:r w:rsidDel="00000000" w:rsidR="00000000" w:rsidRPr="00000000">
        <w:rPr>
          <w:rtl w:val="0"/>
        </w:rPr>
        <w:t xml:space="preserve"> : el simple acto de mencionar una restricción activa la representación mental del objeto prohibido en el modelo. Asimismo, el análisis del  </w:t>
      </w:r>
      <w:r w:rsidDel="00000000" w:rsidR="00000000" w:rsidRPr="00000000">
        <w:rPr>
          <w:b w:val="1"/>
          <w:bCs w:val="1"/>
          <w:rtl w:val="0"/>
        </w:rPr>
        <w:t xml:space="preserve">Pensamiento en Cadena (CoT)</w:t>
      </w:r>
      <w:r w:rsidDel="00000000" w:rsidR="00000000" w:rsidRPr="00000000">
        <w:rPr>
          <w:rtl w:val="0"/>
        </w:rPr>
        <w:t xml:space="preserve">  demuestra que existe una profundidad de razonamiento óptima; el "exceso de pensamiento" puede degradar el rendimiento si no se estructura como un árbol de decisión equilibrado. Finalmente, se identifica una desconexión entre la capacidad interna de los modelos para detectar ambigüedad y su tendencia externa a la  </w:t>
      </w:r>
      <w:r w:rsidDel="00000000" w:rsidR="00000000" w:rsidRPr="00000000">
        <w:rPr>
          <w:b w:val="1"/>
          <w:bCs w:val="1"/>
          <w:rtl w:val="0"/>
        </w:rPr>
        <w:t xml:space="preserve">sincofonía</w:t>
      </w:r>
      <w:r w:rsidDel="00000000" w:rsidR="00000000" w:rsidRPr="00000000">
        <w:rPr>
          <w:rtl w:val="0"/>
        </w:rPr>
        <w:t xml:space="preserve">  (priorizar la complacencia con el usuario sobre la precisión).</w:t>
      </w:r>
    </w:p>
    <w:p w:rsidR="00000000" w:rsidDel="00000000" w:rsidP="00000000" w:rsidRDefault="00000000" w:rsidRPr="00000000" w14:paraId="00000004">
      <w:pPr>
        <w:pStyle w:val="Heading4"/>
        <w:rPr/>
      </w:pPr>
      <w:bookmarkStart w:colFirst="0" w:colLast="0" w:name="_3immfpmyfycr" w:id="2"/>
      <w:bookmarkEnd w:id="2"/>
      <w:r w:rsidDel="00000000" w:rsidR="00000000" w:rsidRPr="00000000">
        <w:rPr>
          <w:rtl w:val="0"/>
        </w:rPr>
        <w:t xml:space="preserve">1. Naturaleza y Mecánica de las Alucinaciones de IA</w:t>
      </w:r>
    </w:p>
    <w:p w:rsidR="00000000" w:rsidDel="00000000" w:rsidP="00000000" w:rsidRDefault="00000000" w:rsidRPr="00000000" w14:paraId="00000005">
      <w:pPr>
        <w:rPr/>
      </w:pPr>
      <w:r w:rsidDel="00000000" w:rsidR="00000000" w:rsidRPr="00000000">
        <w:rPr>
          <w:rtl w:val="0"/>
        </w:rPr>
        <w:t xml:space="preserve">Las alucinaciones se definen como declaraciones factualmente falsas o fabricadas generadas con total confianza. No son fallos de comprensión, sino consecuencias del diseño central de los LLM.</w:t>
      </w:r>
    </w:p>
    <w:p w:rsidR="00000000" w:rsidDel="00000000" w:rsidP="00000000" w:rsidRDefault="00000000" w:rsidRPr="00000000" w14:paraId="00000006">
      <w:pPr>
        <w:pStyle w:val="Heading5"/>
        <w:rPr/>
      </w:pPr>
      <w:bookmarkStart w:colFirst="0" w:colLast="0" w:name="_brm6ow8q7fk" w:id="3"/>
      <w:bookmarkEnd w:id="3"/>
      <w:r w:rsidDel="00000000" w:rsidR="00000000" w:rsidRPr="00000000">
        <w:rPr>
          <w:rtl w:val="0"/>
        </w:rPr>
        <w:t xml:space="preserve">1.1 Causas Fundamentales</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Predicción, no Recuperación:</w:t>
      </w:r>
      <w:r w:rsidDel="00000000" w:rsidR="00000000" w:rsidRPr="00000000">
        <w:rPr>
          <w:rtl w:val="0"/>
        </w:rPr>
        <w:t xml:space="preserve">  Los modelos optimizan la continuación coherente de un texto basándose en probabilidades de patrones de entrenamiento, no consultan una base de datos de "verdad fundamental".</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Ausencia de Mecanismo de Confianza:</w:t>
      </w:r>
      <w:r w:rsidDel="00000000" w:rsidR="00000000" w:rsidRPr="00000000">
        <w:rPr>
          <w:rtl w:val="0"/>
        </w:rPr>
        <w:t xml:space="preserve">  El modelo no posee una señal interna de incertidumbre; produce texto fluido independientemente de la precisión del dato.</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Presión del Contexto:</w:t>
      </w:r>
      <w:r w:rsidDel="00000000" w:rsidR="00000000" w:rsidRPr="00000000">
        <w:rPr>
          <w:rtl w:val="0"/>
        </w:rPr>
        <w:t xml:space="preserve">  Los prompts que exigen respuestas detalladas obligan al modelo a rellenar vacíos de información con detalles plausibles pero ficticios.</w:t>
      </w:r>
    </w:p>
    <w:p w:rsidR="00000000" w:rsidDel="00000000" w:rsidP="00000000" w:rsidRDefault="00000000" w:rsidRPr="00000000" w14:paraId="0000000A">
      <w:pPr>
        <w:pStyle w:val="Heading5"/>
        <w:rPr/>
      </w:pPr>
      <w:bookmarkStart w:colFirst="0" w:colLast="0" w:name="_47t0hmmb8y2c" w:id="4"/>
      <w:bookmarkEnd w:id="4"/>
      <w:r w:rsidDel="00000000" w:rsidR="00000000" w:rsidRPr="00000000">
        <w:rPr>
          <w:rtl w:val="0"/>
        </w:rPr>
        <w:t xml:space="preserve">1.2 Taxonomía de las Alucinaciones</w:t>
      </w:r>
    </w:p>
    <w:p w:rsidR="00000000" w:rsidDel="00000000" w:rsidP="00000000" w:rsidRDefault="00000000" w:rsidRPr="00000000" w14:paraId="0000000B">
      <w:pPr>
        <w:rPr/>
      </w:pPr>
      <w:r w:rsidDel="00000000" w:rsidR="00000000" w:rsidRPr="00000000">
        <w:rPr>
          <w:rtl w:val="0"/>
        </w:rPr>
        <w:t xml:space="preserve">Tipo de Alucinación,Descripción,Severidad</w:t>
      </w:r>
    </w:p>
    <w:p w:rsidR="00000000" w:rsidDel="00000000" w:rsidP="00000000" w:rsidRDefault="00000000" w:rsidRPr="00000000" w14:paraId="0000000C">
      <w:pPr>
        <w:rPr/>
      </w:pPr>
      <w:r w:rsidDel="00000000" w:rsidR="00000000" w:rsidRPr="00000000">
        <w:rPr>
          <w:rtl w:val="0"/>
        </w:rPr>
        <w:t xml:space="preserve">Fuentes Inventadas,"Citas de revistas, autores o años de publicación inexistentes.",Muy Alta</w:t>
      </w:r>
    </w:p>
    <w:p w:rsidR="00000000" w:rsidDel="00000000" w:rsidP="00000000" w:rsidRDefault="00000000" w:rsidRPr="00000000" w14:paraId="0000000D">
      <w:pPr>
        <w:rPr/>
      </w:pPr>
      <w:r w:rsidDel="00000000" w:rsidR="00000000" w:rsidRPr="00000000">
        <w:rPr>
          <w:rtl w:val="0"/>
        </w:rPr>
        <w:t xml:space="preserve">Hechos Incorrectos,"Fechas, números o nombres erróneos presentados con autoridad.",Muy Alta</w:t>
      </w:r>
    </w:p>
    <w:p w:rsidR="00000000" w:rsidDel="00000000" w:rsidP="00000000" w:rsidRDefault="00000000" w:rsidRPr="00000000" w14:paraId="0000000E">
      <w:pPr>
        <w:rPr/>
      </w:pPr>
      <w:r w:rsidDel="00000000" w:rsidR="00000000" w:rsidRPr="00000000">
        <w:rPr>
          <w:rtl w:val="0"/>
        </w:rPr>
        <w:t xml:space="preserve">URLs y Emails Falsos,Generación de enlaces o contactos realistas pero inoperantes.,Alta</w:t>
      </w:r>
    </w:p>
    <w:p w:rsidR="00000000" w:rsidDel="00000000" w:rsidP="00000000" w:rsidRDefault="00000000" w:rsidRPr="00000000" w14:paraId="0000000F">
      <w:pPr>
        <w:rPr/>
      </w:pPr>
      <w:r w:rsidDel="00000000" w:rsidR="00000000" w:rsidRPr="00000000">
        <w:rPr>
          <w:rtl w:val="0"/>
        </w:rPr>
        <w:t xml:space="preserve">Pérdida de Contexto,Olvido de detalles previos en conversaciones largas (context window finito).,Alta</w:t>
      </w:r>
    </w:p>
    <w:p w:rsidR="00000000" w:rsidDel="00000000" w:rsidP="00000000" w:rsidRDefault="00000000" w:rsidRPr="00000000" w14:paraId="00000010">
      <w:pPr>
        <w:rPr/>
      </w:pPr>
      <w:r w:rsidDel="00000000" w:rsidR="00000000" w:rsidRPr="00000000">
        <w:rPr>
          <w:rtl w:val="0"/>
        </w:rPr>
        <w:t xml:space="preserve">Cambio de Rol,Desviación del marco de instrucción original (ej. de analista a narrador).,Media</w:t>
      </w:r>
    </w:p>
    <w:p w:rsidR="00000000" w:rsidDel="00000000" w:rsidP="00000000" w:rsidRDefault="00000000" w:rsidRPr="00000000" w14:paraId="00000011">
      <w:pPr>
        <w:rPr/>
      </w:pPr>
      <w:r w:rsidDel="00000000" w:rsidR="00000000" w:rsidRPr="00000000">
        <w:rPr>
          <w:rtl w:val="0"/>
        </w:rPr>
        <w:t xml:space="preserve">Contradicción Interna,Afirmaciones opuestas dentro de la misma respuesta.,Media</w:t>
      </w:r>
    </w:p>
    <w:p w:rsidR="00000000" w:rsidDel="00000000" w:rsidP="00000000" w:rsidRDefault="00000000" w:rsidRPr="00000000" w14:paraId="00000012">
      <w:pPr>
        <w:pStyle w:val="Heading4"/>
        <w:rPr/>
      </w:pPr>
      <w:bookmarkStart w:colFirst="0" w:colLast="0" w:name="_xf3xt4b24u1r" w:id="5"/>
      <w:bookmarkEnd w:id="5"/>
      <w:r w:rsidDel="00000000" w:rsidR="00000000" w:rsidRPr="00000000">
        <w:rPr>
          <w:rtl w:val="0"/>
        </w:rPr>
        <w:t xml:space="preserve">2. Optimización del Razonamiento: Chain of Thought (CoT)</w:t>
      </w:r>
    </w:p>
    <w:p w:rsidR="00000000" w:rsidDel="00000000" w:rsidP="00000000" w:rsidRDefault="00000000" w:rsidRPr="00000000" w14:paraId="00000013">
      <w:pPr>
        <w:rPr/>
      </w:pPr>
      <w:r w:rsidDel="00000000" w:rsidR="00000000" w:rsidRPr="00000000">
        <w:rPr>
          <w:rtl w:val="0"/>
        </w:rPr>
        <w:t xml:space="preserve">La descomposición de tareas complejas mediante CoT reduce significativamente el error de clasificación, el cual escala como una ley de potencia respecto al número de clases ( $m$ ).</w:t>
      </w:r>
    </w:p>
    <w:p w:rsidR="00000000" w:rsidDel="00000000" w:rsidP="00000000" w:rsidRDefault="00000000" w:rsidRPr="00000000" w14:paraId="00000014">
      <w:pPr>
        <w:pStyle w:val="Heading5"/>
        <w:rPr/>
      </w:pPr>
      <w:bookmarkStart w:colFirst="0" w:colLast="0" w:name="_jth9z1rdanre" w:id="6"/>
      <w:bookmarkEnd w:id="6"/>
      <w:r w:rsidDel="00000000" w:rsidR="00000000" w:rsidRPr="00000000">
        <w:rPr>
          <w:rtl w:val="0"/>
        </w:rPr>
        <w:t xml:space="preserve">2.1 El Grado Óptimo de Razonamiento</w:t>
      </w:r>
    </w:p>
    <w:p w:rsidR="00000000" w:rsidDel="00000000" w:rsidP="00000000" w:rsidRDefault="00000000" w:rsidRPr="00000000" w14:paraId="00000015">
      <w:pPr>
        <w:rPr/>
      </w:pPr>
      <w:r w:rsidDel="00000000" w:rsidR="00000000" w:rsidRPr="00000000">
        <w:rPr>
          <w:rtl w:val="0"/>
        </w:rPr>
        <w:t xml:space="preserve">La investigación de la Universidad de Pennsylvania indica que el error se minimiza cuando el "árbol de decisiones" del razonamiento está equilibrado.</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Grado Óptimo (</w:t>
      </w:r>
      <w:r w:rsidDel="00000000" w:rsidR="00000000" w:rsidRPr="00000000">
        <w:rPr>
          <w:rtl w:val="0"/>
        </w:rPr>
        <w:t xml:space="preserve">  </w:t>
      </w:r>
      <w:r w:rsidDel="00000000" w:rsidR="00000000" w:rsidRPr="00000000">
        <w:rPr>
          <w:b w:val="1"/>
          <w:bCs w:val="1"/>
          <w:rtl w:val="0"/>
        </w:rPr>
        <w:t xml:space="preserve">$m^</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 define como  $e^{d/2}$ , donde  $d$  es la dimensión intrínseca del dominio de entrada.</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Efecto del "Pensamiento":</w:t>
      </w:r>
      <w:r w:rsidDel="00000000" w:rsidR="00000000" w:rsidRPr="00000000">
        <w:rPr>
          <w:rtl w:val="0"/>
        </w:rPr>
        <w:t xml:space="preserve">  Aumentar la longitud del CoT (profundidad) solo es beneficioso si el grado del árbol es mayor que  $m^*$ . Si el grado es menor, el razonamiento excesivo es perjudicial y aumenta la probabilidad de error.</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Capacidad del Modelo:</w:t>
      </w:r>
      <w:r w:rsidDel="00000000" w:rsidR="00000000" w:rsidRPr="00000000">
        <w:rPr>
          <w:rtl w:val="0"/>
        </w:rPr>
        <w:t xml:space="preserve">  Los modelos más capaces capturan una mayor dimensión intrínseca, lo que reduce la longitud óptima del razonamiento necesaria para la precisión.</w:t>
      </w:r>
    </w:p>
    <w:p w:rsidR="00000000" w:rsidDel="00000000" w:rsidP="00000000" w:rsidRDefault="00000000" w:rsidRPr="00000000" w14:paraId="00000019">
      <w:pPr>
        <w:pStyle w:val="Heading5"/>
        <w:rPr/>
      </w:pPr>
      <w:bookmarkStart w:colFirst="0" w:colLast="0" w:name="_pumr1h4x26ra" w:id="7"/>
      <w:bookmarkEnd w:id="7"/>
      <w:r w:rsidDel="00000000" w:rsidR="00000000" w:rsidRPr="00000000">
        <w:rPr>
          <w:rtl w:val="0"/>
        </w:rPr>
        <w:t xml:space="preserve">2.2 CoT y Ambigüedad</w:t>
      </w:r>
    </w:p>
    <w:p w:rsidR="00000000" w:rsidDel="00000000" w:rsidP="00000000" w:rsidRDefault="00000000" w:rsidRPr="00000000" w14:paraId="0000001A">
      <w:pPr>
        <w:rPr/>
      </w:pPr>
      <w:r w:rsidDel="00000000" w:rsidR="00000000" w:rsidRPr="00000000">
        <w:rPr>
          <w:rtl w:val="0"/>
        </w:rPr>
        <w:t xml:space="preserve">Aunque el CoT mejora la ejecución de tareas claras, estudios de JAIST demuestran que  </w:t>
      </w:r>
      <w:r w:rsidDel="00000000" w:rsidR="00000000" w:rsidRPr="00000000">
        <w:rPr>
          <w:b w:val="1"/>
          <w:bCs w:val="1"/>
          <w:rtl w:val="0"/>
        </w:rPr>
        <w:t xml:space="preserve">no mejora necesariamente la capacidad de reconocer ambigüedad</w:t>
      </w:r>
      <w:r w:rsidDel="00000000" w:rsidR="00000000" w:rsidRPr="00000000">
        <w:rPr>
          <w:rtl w:val="0"/>
        </w:rPr>
        <w:t xml:space="preserve"> . El CoT tiende a enfocarse en la descomposición de la ejecución (capacidad de ejecución) en lugar de evaluar críticamente la validez de la instrucción (capacidad de reconocimiento).</w:t>
      </w:r>
    </w:p>
    <w:p w:rsidR="00000000" w:rsidDel="00000000" w:rsidP="00000000" w:rsidRDefault="00000000" w:rsidRPr="00000000" w14:paraId="0000001B">
      <w:pPr>
        <w:pStyle w:val="Heading4"/>
        <w:rPr/>
      </w:pPr>
      <w:bookmarkStart w:colFirst="0" w:colLast="0" w:name="_h84i0umblzdy" w:id="8"/>
      <w:bookmarkEnd w:id="8"/>
      <w:r w:rsidDel="00000000" w:rsidR="00000000" w:rsidRPr="00000000">
        <w:rPr>
          <w:rtl w:val="0"/>
        </w:rPr>
        <w:t xml:space="preserve">3. Pozos de Gravedad Semántica: El Fracaso de las Restricciones Negativas</w:t>
      </w:r>
    </w:p>
    <w:p w:rsidR="00000000" w:rsidDel="00000000" w:rsidP="00000000" w:rsidRDefault="00000000" w:rsidRPr="00000000" w14:paraId="0000001C">
      <w:pPr>
        <w:rPr/>
      </w:pPr>
      <w:r w:rsidDel="00000000" w:rsidR="00000000" w:rsidRPr="00000000">
        <w:rPr>
          <w:rtl w:val="0"/>
        </w:rPr>
        <w:t xml:space="preserve">El uso de instrucciones negativas ("No hagas X") es una de las áreas más problemáticas de la ingeniería de prompts. La  </w:t>
      </w:r>
      <w:r w:rsidDel="00000000" w:rsidR="00000000" w:rsidRPr="00000000">
        <w:rPr>
          <w:b w:val="1"/>
          <w:bCs w:val="1"/>
          <w:rtl w:val="0"/>
        </w:rPr>
        <w:t xml:space="preserve">Presión Semántica (</w:t>
      </w:r>
      <w:r w:rsidDel="00000000" w:rsidR="00000000" w:rsidRPr="00000000">
        <w:rPr>
          <w:rtl w:val="0"/>
        </w:rPr>
        <w:t xml:space="preserve">  </w:t>
      </w:r>
      <w:r w:rsidDel="00000000" w:rsidR="00000000" w:rsidRPr="00000000">
        <w:rPr>
          <w:b w:val="1"/>
          <w:bCs w:val="1"/>
          <w:rtl w:val="0"/>
        </w:rPr>
        <w:t xml:space="preserve">$P_0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mide la probabilidad intrínseca del modelo de generar un token prohibido antes de la restricción.</w:t>
      </w:r>
    </w:p>
    <w:p w:rsidR="00000000" w:rsidDel="00000000" w:rsidP="00000000" w:rsidRDefault="00000000" w:rsidRPr="00000000" w14:paraId="0000001D">
      <w:pPr>
        <w:pStyle w:val="Heading5"/>
        <w:rPr/>
      </w:pPr>
      <w:bookmarkStart w:colFirst="0" w:colLast="0" w:name="_53ipsx6uf4el" w:id="9"/>
      <w:bookmarkEnd w:id="9"/>
      <w:r w:rsidDel="00000000" w:rsidR="00000000" w:rsidRPr="00000000">
        <w:rPr>
          <w:rtl w:val="0"/>
        </w:rPr>
        <w:t xml:space="preserve">3.1 Modos de Falla en Restricciones Negativas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Falla por Primado (Priming) - 87.5%:</w:t>
      </w:r>
      <w:r w:rsidDel="00000000" w:rsidR="00000000" w:rsidRPr="00000000">
        <w:rPr>
          <w:rtl w:val="0"/>
        </w:rPr>
        <w:t xml:space="preserve">  La mención explícita de la palabra prohibida activa su representación en las capas de atención. El modelo se enfoca más en el sustantivo que en el operador de negación ("no").</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Falla por Invalidación (Override) - 12.5%:</w:t>
      </w:r>
      <w:r w:rsidDel="00000000" w:rsidR="00000000" w:rsidRPr="00000000">
        <w:rPr>
          <w:rtl w:val="0"/>
        </w:rPr>
        <w:t xml:space="preserve">  Las redes  </w:t>
      </w:r>
      <w:r w:rsidDel="00000000" w:rsidR="00000000" w:rsidRPr="00000000">
        <w:rPr>
          <w:i w:val="1"/>
          <w:iCs w:val="1"/>
          <w:rtl w:val="0"/>
        </w:rPr>
        <w:t xml:space="preserve">feed-forward</w:t>
      </w:r>
      <w:r w:rsidDel="00000000" w:rsidR="00000000" w:rsidRPr="00000000">
        <w:rPr>
          <w:rtl w:val="0"/>
        </w:rPr>
        <w:t xml:space="preserve">  de las capas finales (23-27) generan una contribución positiva masiva hacia el token prohibido que aplasta las señales de supresión de las capas anteriores.</w:t>
      </w:r>
    </w:p>
    <w:p w:rsidR="00000000" w:rsidDel="00000000" w:rsidP="00000000" w:rsidRDefault="00000000" w:rsidRPr="00000000" w14:paraId="00000020">
      <w:pPr>
        <w:pStyle w:val="Heading5"/>
        <w:rPr/>
      </w:pPr>
      <w:bookmarkStart w:colFirst="0" w:colLast="0" w:name="_5hc2hsg7xng9" w:id="10"/>
      <w:bookmarkEnd w:id="10"/>
      <w:r w:rsidDel="00000000" w:rsidR="00000000" w:rsidRPr="00000000">
        <w:rPr>
          <w:rtl w:val="0"/>
        </w:rPr>
        <w:t xml:space="preserve">3.2 Casos donde las restricciones negativas SÍ funcionan</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Exclusiones de formato:</w:t>
      </w:r>
      <w:r w:rsidDel="00000000" w:rsidR="00000000" w:rsidRPr="00000000">
        <w:rPr>
          <w:rtl w:val="0"/>
        </w:rPr>
        <w:t xml:space="preserve">  "Sin viñetas" (binario y verificable).</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Filtros concretos:</w:t>
      </w:r>
      <w:r w:rsidDel="00000000" w:rsidR="00000000" w:rsidRPr="00000000">
        <w:rPr>
          <w:rtl w:val="0"/>
        </w:rPr>
        <w:t xml:space="preserve">  "Sin información personal" (mapeo a elementos identificables).</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Restricciones de seguridad:</w:t>
      </w:r>
      <w:r w:rsidDel="00000000" w:rsidR="00000000" w:rsidRPr="00000000">
        <w:rPr>
          <w:rtl w:val="0"/>
        </w:rPr>
        <w:t xml:space="preserve">  Debido al entrenamiento profundo específico (RLHF/AI Constitucional).</w:t>
      </w:r>
    </w:p>
    <w:p w:rsidR="00000000" w:rsidDel="00000000" w:rsidP="00000000" w:rsidRDefault="00000000" w:rsidRPr="00000000" w14:paraId="00000024">
      <w:pPr>
        <w:pStyle w:val="Heading4"/>
        <w:rPr/>
      </w:pPr>
      <w:bookmarkStart w:colFirst="0" w:colLast="0" w:name="_x1tkjsp9hp82" w:id="11"/>
      <w:bookmarkEnd w:id="11"/>
      <w:r w:rsidDel="00000000" w:rsidR="00000000" w:rsidRPr="00000000">
        <w:rPr>
          <w:rtl w:val="0"/>
        </w:rPr>
        <w:t xml:space="preserve">4. Análisis de Ambigüedad y Sesgo de Sincofonía</w:t>
      </w:r>
    </w:p>
    <w:p w:rsidR="00000000" w:rsidDel="00000000" w:rsidP="00000000" w:rsidRDefault="00000000" w:rsidRPr="00000000" w14:paraId="00000025">
      <w:pPr>
        <w:rPr/>
      </w:pPr>
      <w:r w:rsidDel="00000000" w:rsidR="00000000" w:rsidRPr="00000000">
        <w:rPr>
          <w:rtl w:val="0"/>
        </w:rPr>
        <w:t xml:space="preserve">Los modelos a menudo detectan la ambigüedad internamente pero fallan al reportarla externamente.</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Representación Interna:</w:t>
      </w:r>
      <w:r w:rsidDel="00000000" w:rsidR="00000000" w:rsidRPr="00000000">
        <w:rPr>
          <w:rtl w:val="0"/>
        </w:rPr>
        <w:t xml:space="preserve">  Mediante el  </w:t>
      </w:r>
      <w:r w:rsidDel="00000000" w:rsidR="00000000" w:rsidRPr="00000000">
        <w:rPr>
          <w:i w:val="1"/>
          <w:iCs w:val="1"/>
          <w:rtl w:val="0"/>
        </w:rPr>
        <w:t xml:space="preserve">linear probing</w:t>
      </w:r>
      <w:r w:rsidDel="00000000" w:rsidR="00000000" w:rsidRPr="00000000">
        <w:rPr>
          <w:rtl w:val="0"/>
        </w:rPr>
        <w:t xml:space="preserve"> , se ha confirmado que la información sobre si una instrucción es ambigua está presente en las capas intermedias y profundas.</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Sesgo de Sincofonía:</w:t>
      </w:r>
      <w:r w:rsidDel="00000000" w:rsidR="00000000" w:rsidRPr="00000000">
        <w:rPr>
          <w:rtl w:val="0"/>
        </w:rPr>
        <w:t xml:space="preserve">  El modelo prioriza cumplir con la solicitud del usuario y generar un plan ejecutable incluso cuando la instrucción es defectuosa o contradictoria.</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El Efecto "Hint":</w:t>
      </w:r>
      <w:r w:rsidDel="00000000" w:rsidR="00000000" w:rsidRPr="00000000">
        <w:rPr>
          <w:rtl w:val="0"/>
        </w:rPr>
        <w:t xml:space="preserve">  La capacidad de reportar ambigüedad mejora drásticamente solo cuando se incluyen instrucciones explícitas ("puedes decir que no sabes" o "advierte si falta información"). Sin estas ayudas, los modelos suelen desempeñarse peor que el azar en la detección de ambigüedad.</w:t>
      </w:r>
    </w:p>
    <w:p w:rsidR="00000000" w:rsidDel="00000000" w:rsidP="00000000" w:rsidRDefault="00000000" w:rsidRPr="00000000" w14:paraId="00000029">
      <w:pPr>
        <w:pStyle w:val="Heading4"/>
        <w:rPr/>
      </w:pPr>
      <w:bookmarkStart w:colFirst="0" w:colLast="0" w:name="_nw6d7mxiw56p" w:id="12"/>
      <w:bookmarkEnd w:id="12"/>
      <w:r w:rsidDel="00000000" w:rsidR="00000000" w:rsidRPr="00000000">
        <w:rPr>
          <w:rtl w:val="0"/>
        </w:rPr>
        <w:t xml:space="preserve">5. Guía Estratégica para la Redacción de Prompts</w:t>
      </w:r>
    </w:p>
    <w:p w:rsidR="00000000" w:rsidDel="00000000" w:rsidP="00000000" w:rsidRDefault="00000000" w:rsidRPr="00000000" w14:paraId="0000002A">
      <w:pPr>
        <w:rPr/>
      </w:pPr>
      <w:r w:rsidDel="00000000" w:rsidR="00000000" w:rsidRPr="00000000">
        <w:rPr>
          <w:rtl w:val="0"/>
        </w:rPr>
        <w:t xml:space="preserve">Para mitigar alucinaciones y asegurar resultados consistentes, se propone abandonar las estructuras vagas por un enfoque de  </w:t>
      </w:r>
      <w:r w:rsidDel="00000000" w:rsidR="00000000" w:rsidRPr="00000000">
        <w:rPr>
          <w:b w:val="1"/>
          <w:bCs w:val="1"/>
          <w:rtl w:val="0"/>
        </w:rPr>
        <w:t xml:space="preserve">"Briefing"</w:t>
      </w:r>
      <w:r w:rsidDel="00000000" w:rsidR="00000000" w:rsidRPr="00000000">
        <w:rPr>
          <w:rtl w:val="0"/>
        </w:rPr>
        <w:t xml:space="preserve"> .</w:t>
      </w:r>
    </w:p>
    <w:p w:rsidR="00000000" w:rsidDel="00000000" w:rsidP="00000000" w:rsidRDefault="00000000" w:rsidRPr="00000000" w14:paraId="0000002B">
      <w:pPr>
        <w:pStyle w:val="Heading5"/>
        <w:rPr/>
      </w:pPr>
      <w:bookmarkStart w:colFirst="0" w:colLast="0" w:name="_eph8042wim8r" w:id="13"/>
      <w:bookmarkEnd w:id="13"/>
      <w:r w:rsidDel="00000000" w:rsidR="00000000" w:rsidRPr="00000000">
        <w:rPr>
          <w:rtl w:val="0"/>
        </w:rPr>
        <w:t xml:space="preserve">5.1 Estructura Universal del Prompt</w:t>
      </w:r>
    </w:p>
    <w:p w:rsidR="00000000" w:rsidDel="00000000" w:rsidP="00000000" w:rsidRDefault="00000000" w:rsidRPr="00000000" w14:paraId="0000002C">
      <w:pPr>
        <w:rPr/>
      </w:pPr>
      <w:r w:rsidDel="00000000" w:rsidR="00000000" w:rsidRPr="00000000">
        <w:rPr>
          <w:rtl w:val="0"/>
        </w:rPr>
        <w:t xml:space="preserve">Un prompt de alta calidad debe cubrir 4 elementos clave:</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Rol o Contexto:</w:t>
      </w:r>
      <w:r w:rsidDel="00000000" w:rsidR="00000000" w:rsidRPr="00000000">
        <w:rPr>
          <w:rtl w:val="0"/>
        </w:rPr>
        <w:t xml:space="preserve">  ¿Qué marco debe adoptar el modelo? (Ej: "Actúa como un experto en logística").</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Tarea Específica:</w:t>
      </w:r>
      <w:r w:rsidDel="00000000" w:rsidR="00000000" w:rsidRPr="00000000">
        <w:rPr>
          <w:rtl w:val="0"/>
        </w:rPr>
        <w:t xml:space="preserve">  ¿Cuál es el resultado exacto esperado?</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Datos de Entrada Reales:</w:t>
      </w:r>
      <w:r w:rsidDel="00000000" w:rsidR="00000000" w:rsidRPr="00000000">
        <w:rPr>
          <w:rtl w:val="0"/>
        </w:rPr>
        <w:t xml:space="preserve">  Proporcionar hechos, no pedir al modelo que los recupere de su memoria.</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Restricciones y Formato:</w:t>
      </w:r>
      <w:r w:rsidDel="00000000" w:rsidR="00000000" w:rsidRPr="00000000">
        <w:rPr>
          <w:rtl w:val="0"/>
        </w:rPr>
        <w:t xml:space="preserve">  Definir límites y estructura de salida (tabla, JSON, bullets).</w:t>
      </w:r>
    </w:p>
    <w:p w:rsidR="00000000" w:rsidDel="00000000" w:rsidP="00000000" w:rsidRDefault="00000000" w:rsidRPr="00000000" w14:paraId="00000031">
      <w:pPr>
        <w:pStyle w:val="Heading5"/>
        <w:rPr/>
      </w:pPr>
      <w:bookmarkStart w:colFirst="0" w:colLast="0" w:name="_asx4yw5f13yx" w:id="14"/>
      <w:bookmarkEnd w:id="14"/>
      <w:r w:rsidDel="00000000" w:rsidR="00000000" w:rsidRPr="00000000">
        <w:rPr>
          <w:rtl w:val="0"/>
        </w:rPr>
        <w:t xml:space="preserve">5.2 Errores Comunes y Refuercos (Framework OpenAI/VTI)</w:t>
      </w:r>
    </w:p>
    <w:p w:rsidR="00000000" w:rsidDel="00000000" w:rsidP="00000000" w:rsidRDefault="00000000" w:rsidRPr="00000000" w14:paraId="00000032">
      <w:pPr>
        <w:numPr>
          <w:ilvl w:val="0"/>
          <w:numId w:val="8"/>
        </w:numPr>
        <w:ind w:left="720" w:hanging="360"/>
        <w:rPr>
          <w:u w:val="none"/>
        </w:rPr>
      </w:pPr>
      <w:r w:rsidDel="00000000" w:rsidR="00000000" w:rsidRPr="00000000">
        <w:rPr>
          <w:b w:val="1"/>
          <w:bCs w:val="1"/>
          <w:rtl w:val="0"/>
        </w:rPr>
        <w:t xml:space="preserve">Instrucciones Vagas:</w:t>
      </w:r>
      <w:r w:rsidDel="00000000" w:rsidR="00000000" w:rsidRPr="00000000">
        <w:rPr>
          <w:rtl w:val="0"/>
        </w:rPr>
        <w:t xml:space="preserve">  Evitar "Ayuda al usuario". Usar "Pregunta por el número de pedido y verifica la API".</w:t>
      </w:r>
    </w:p>
    <w:p w:rsidR="00000000" w:rsidDel="00000000" w:rsidP="00000000" w:rsidRDefault="00000000" w:rsidRPr="00000000" w14:paraId="00000033">
      <w:pPr>
        <w:numPr>
          <w:ilvl w:val="0"/>
          <w:numId w:val="8"/>
        </w:numPr>
        <w:ind w:left="720" w:hanging="360"/>
        <w:rPr>
          <w:u w:val="none"/>
        </w:rPr>
      </w:pPr>
      <w:r w:rsidDel="00000000" w:rsidR="00000000" w:rsidRPr="00000000">
        <w:rPr>
          <w:b w:val="1"/>
          <w:bCs w:val="1"/>
          <w:rtl w:val="0"/>
        </w:rPr>
        <w:t xml:space="preserve">Ausencia de Condiciones de Salida:</w:t>
      </w:r>
      <w:r w:rsidDel="00000000" w:rsidR="00000000" w:rsidRPr="00000000">
        <w:rPr>
          <w:rtl w:val="0"/>
        </w:rPr>
        <w:t xml:space="preserve">  Definir claramente cuándo termina la tarea (Ej: "Finaliza cuando se envíe el resumen").</w:t>
      </w:r>
    </w:p>
    <w:p w:rsidR="00000000" w:rsidDel="00000000" w:rsidP="00000000" w:rsidRDefault="00000000" w:rsidRPr="00000000" w14:paraId="00000034">
      <w:pPr>
        <w:numPr>
          <w:ilvl w:val="0"/>
          <w:numId w:val="8"/>
        </w:numPr>
        <w:ind w:left="720" w:hanging="360"/>
        <w:rPr>
          <w:u w:val="none"/>
        </w:rPr>
      </w:pPr>
      <w:r w:rsidDel="00000000" w:rsidR="00000000" w:rsidRPr="00000000">
        <w:rPr>
          <w:b w:val="1"/>
          <w:bCs w:val="1"/>
          <w:rtl w:val="0"/>
        </w:rPr>
        <w:t xml:space="preserve">Reframing Positivo:</w:t>
      </w:r>
      <w:r w:rsidDel="00000000" w:rsidR="00000000" w:rsidRPr="00000000">
        <w:rPr>
          <w:rtl w:val="0"/>
        </w:rPr>
        <w:t xml:space="preserve">  En lugar de "No seas prolijo", usar "Escribe máximo 3 oraciones". Cambiar el juicio subjetivo por una métrica verificable.</w:t>
      </w:r>
    </w:p>
    <w:p w:rsidR="00000000" w:rsidDel="00000000" w:rsidP="00000000" w:rsidRDefault="00000000" w:rsidRPr="00000000" w14:paraId="00000035">
      <w:pPr>
        <w:pStyle w:val="Heading5"/>
        <w:rPr/>
      </w:pPr>
      <w:bookmarkStart w:colFirst="0" w:colLast="0" w:name="_rv0j78org942" w:id="15"/>
      <w:bookmarkEnd w:id="15"/>
      <w:r w:rsidDel="00000000" w:rsidR="00000000" w:rsidRPr="00000000">
        <w:rPr>
          <w:rtl w:val="0"/>
        </w:rPr>
        <w:t xml:space="preserve">5.3 Técnicas de Mitigación de Alto Impacto</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Puntuación de Consenso:</w:t>
      </w:r>
      <w:r w:rsidDel="00000000" w:rsidR="00000000" w:rsidRPr="00000000">
        <w:rPr>
          <w:rtl w:val="0"/>
        </w:rPr>
        <w:t xml:space="preserve">  Enviar el mismo prompt a 5 o más modelos independientes; las afirmaciones que solo aparecen en uno son altamente sospechosas.</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Autocrítica:</w:t>
      </w:r>
      <w:r w:rsidDel="00000000" w:rsidR="00000000" w:rsidRPr="00000000">
        <w:rPr>
          <w:rtl w:val="0"/>
        </w:rPr>
        <w:t xml:space="preserve">  Instruir al modelo para revisar su propia respuesta en busca de contradicciones antes de entregar el resultado final.</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Permiso de Incertidumbre:</w:t>
      </w:r>
      <w:r w:rsidDel="00000000" w:rsidR="00000000" w:rsidRPr="00000000">
        <w:rPr>
          <w:rtl w:val="0"/>
        </w:rPr>
        <w:t xml:space="preserve">  Incluir explícitamente la frase: "Si no estás seguro o no tienes la información, dilo. No adivines".</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