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u2hkw9s7cpx" w:id="0"/>
      <w:bookmarkEnd w:id="0"/>
      <w:r w:rsidDel="00000000" w:rsidR="00000000" w:rsidRPr="00000000">
        <w:rPr>
          <w:rtl w:val="0"/>
        </w:rPr>
        <w:t xml:space="preserve">Ingeniería de Prompts: Fundamentos, Técnicas Avanzadas y Arquitectura de Sistemas Cognitivos</w:t>
      </w:r>
    </w:p>
    <w:p w:rsidR="00000000" w:rsidDel="00000000" w:rsidP="00000000" w:rsidRDefault="00000000" w:rsidRPr="00000000" w14:paraId="00000002">
      <w:pPr>
        <w:rPr/>
      </w:pPr>
      <w:r w:rsidDel="00000000" w:rsidR="00000000" w:rsidRPr="00000000">
        <w:rPr>
          <w:rtl w:val="0"/>
        </w:rPr>
        <w:t xml:space="preserve">Este documento de información (briefing) sintetiza los principios, metodologías y aplicaciones de la ingeniería de prompts, basándose en el análisis de fuentes académicas y técnicas sobre modelos de lenguaje de gran escala (LLM).</w:t>
      </w:r>
    </w:p>
    <w:p w:rsidR="00000000" w:rsidDel="00000000" w:rsidP="00000000" w:rsidRDefault="00000000" w:rsidRPr="00000000" w14:paraId="00000003">
      <w:pPr>
        <w:pStyle w:val="Heading4"/>
        <w:rPr/>
      </w:pPr>
      <w:bookmarkStart w:colFirst="0" w:colLast="0" w:name="_kjbpul2aymd6" w:id="1"/>
      <w:bookmarkEnd w:id="1"/>
      <w:r w:rsidDel="00000000" w:rsidR="00000000" w:rsidRPr="00000000">
        <w:rPr>
          <w:rtl w:val="0"/>
        </w:rPr>
        <w:t xml:space="preserve">Resumen Ejecutivo</w:t>
      </w:r>
    </w:p>
    <w:p w:rsidR="00000000" w:rsidDel="00000000" w:rsidP="00000000" w:rsidRDefault="00000000" w:rsidRPr="00000000" w14:paraId="00000004">
      <w:pPr>
        <w:rPr/>
      </w:pPr>
      <w:r w:rsidDel="00000000" w:rsidR="00000000" w:rsidRPr="00000000">
        <w:rPr>
          <w:rtl w:val="0"/>
        </w:rPr>
        <w:t xml:space="preserve">La ingeniería de prompts ha evolucionado de ser una simple entrada de texto a una disciplina científica rigurosa centrada en la construcción de "andamiaje cognitivo" para los modelos de inteligencia artificial. Se estima que aproximadamente el  </w:t>
      </w:r>
      <w:r w:rsidDel="00000000" w:rsidR="00000000" w:rsidRPr="00000000">
        <w:rPr>
          <w:b w:val="1"/>
          <w:bCs w:val="1"/>
          <w:rtl w:val="0"/>
        </w:rPr>
        <w:t xml:space="preserve">90% de las aplicaciones de LLM</w:t>
      </w:r>
      <w:r w:rsidDel="00000000" w:rsidR="00000000" w:rsidRPr="00000000">
        <w:rPr>
          <w:rtl w:val="0"/>
        </w:rPr>
        <w:t xml:space="preserve">  pueden mejorarse significativamente mediante un diseño de prompts superior. Los avances han pasado de la intuición de "disparo cero" (zero-shot) a estructuras complejas como los Árboles de Pensamiento (ToT) y sistemas verificables (RAG/ReAct), permitiendo que los modelos superen limitaciones críticas como los errores de razonamiento y las alucinaciones factuales.</w:t>
      </w:r>
    </w:p>
    <w:p w:rsidR="00000000" w:rsidDel="00000000" w:rsidP="00000000" w:rsidRDefault="00000000" w:rsidRPr="00000000" w14:paraId="00000005">
      <w:pPr>
        <w:pStyle w:val="Heading4"/>
        <w:rPr/>
      </w:pPr>
      <w:bookmarkStart w:colFirst="0" w:colLast="0" w:name="_pckzeve9ylzg" w:id="2"/>
      <w:bookmarkEnd w:id="2"/>
      <w:r w:rsidDel="00000000" w:rsidR="00000000" w:rsidRPr="00000000">
        <w:rPr>
          <w:rtl w:val="0"/>
        </w:rPr>
        <w:t xml:space="preserve">1. Fundamentos de la Ingeniería de Prompts</w:t>
      </w:r>
    </w:p>
    <w:p w:rsidR="00000000" w:rsidDel="00000000" w:rsidP="00000000" w:rsidRDefault="00000000" w:rsidRPr="00000000" w14:paraId="00000006">
      <w:pPr>
        <w:rPr/>
      </w:pPr>
      <w:r w:rsidDel="00000000" w:rsidR="00000000" w:rsidRPr="00000000">
        <w:rPr>
          <w:rtl w:val="0"/>
        </w:rPr>
        <w:t xml:space="preserve">La ingeniería de prompts es la práctica de diseñar entradas estructuradas y contextualmente apropiadas para guiar a los LLM hacia resultados precisos y relevantes. Esta disciplina surgió entre 2019 y 2020 con modelos como GPT-2 y GPT-3, que al ser entrenados para la predicción del siguiente token, requerían instrucciones cuidadosamente diseñadas para ejecutar tareas específicas.</w:t>
      </w:r>
    </w:p>
    <w:p w:rsidR="00000000" w:rsidDel="00000000" w:rsidP="00000000" w:rsidRDefault="00000000" w:rsidRPr="00000000" w14:paraId="00000007">
      <w:pPr>
        <w:pStyle w:val="Heading5"/>
        <w:rPr/>
      </w:pPr>
      <w:bookmarkStart w:colFirst="0" w:colLast="0" w:name="_tor4p7su7n4" w:id="3"/>
      <w:bookmarkEnd w:id="3"/>
      <w:r w:rsidDel="00000000" w:rsidR="00000000" w:rsidRPr="00000000">
        <w:rPr>
          <w:rtl w:val="0"/>
        </w:rPr>
        <w:t xml:space="preserve">Aprendizaje en Contexto (In-Context Learning - ICL)</w:t>
      </w:r>
    </w:p>
    <w:p w:rsidR="00000000" w:rsidDel="00000000" w:rsidP="00000000" w:rsidRDefault="00000000" w:rsidRPr="00000000" w14:paraId="00000008">
      <w:pPr>
        <w:rPr/>
      </w:pPr>
      <w:r w:rsidDel="00000000" w:rsidR="00000000" w:rsidRPr="00000000">
        <w:rPr>
          <w:rtl w:val="0"/>
        </w:rPr>
        <w:t xml:space="preserve">El ICL permite que los modelos se adapten a nuevas tareas sin necesidad de actualizaciones de gradiente (fine-tuning). Se clasifica según la cantidad de ejemplos proporcionados:| Técnica | Descripción | Ejemplo de Aplicación || ------ | ------ | ------ || </w:t>
      </w:r>
      <w:r w:rsidDel="00000000" w:rsidR="00000000" w:rsidRPr="00000000">
        <w:rPr>
          <w:b w:val="1"/>
          <w:bCs w:val="1"/>
          <w:rtl w:val="0"/>
        </w:rPr>
        <w:t xml:space="preserve">Zero-Shot</w:t>
      </w:r>
      <w:r w:rsidDel="00000000" w:rsidR="00000000" w:rsidRPr="00000000">
        <w:rPr>
          <w:rtl w:val="0"/>
        </w:rPr>
        <w:t xml:space="preserve"> | El modelo predice la respuesta basándose solo en una descripción natural de la tarea. | "Traduce de inglés a francés: cheese =&gt;" || </w:t>
      </w:r>
      <w:r w:rsidDel="00000000" w:rsidR="00000000" w:rsidRPr="00000000">
        <w:rPr>
          <w:b w:val="1"/>
          <w:bCs w:val="1"/>
          <w:rtl w:val="0"/>
        </w:rPr>
        <w:t xml:space="preserve">One-Shot</w:t>
      </w:r>
      <w:r w:rsidDel="00000000" w:rsidR="00000000" w:rsidRPr="00000000">
        <w:rPr>
          <w:rtl w:val="0"/>
        </w:rPr>
        <w:t xml:space="preserve"> | Se incluye un único ejemplo para mejorar la precisión. | "Inglés a francés: sea otter =&gt; loutre de mer, cheese =&gt;" || </w:t>
      </w:r>
      <w:r w:rsidDel="00000000" w:rsidR="00000000" w:rsidRPr="00000000">
        <w:rPr>
          <w:b w:val="1"/>
          <w:bCs w:val="1"/>
          <w:rtl w:val="0"/>
        </w:rPr>
        <w:t xml:space="preserve">Few-Shot</w:t>
      </w:r>
      <w:r w:rsidDel="00000000" w:rsidR="00000000" w:rsidRPr="00000000">
        <w:rPr>
          <w:rtl w:val="0"/>
        </w:rPr>
        <w:t xml:space="preserve"> | Se proporcionan de 2 a 5 ejemplos (máximo 100) para demostrar el formato o la tarea. | Proporcionar múltiples pares de palabras antes de pedir la traducción final. |</w:t>
      </w:r>
    </w:p>
    <w:p w:rsidR="00000000" w:rsidDel="00000000" w:rsidP="00000000" w:rsidRDefault="00000000" w:rsidRPr="00000000" w14:paraId="00000009">
      <w:pPr>
        <w:pStyle w:val="Heading4"/>
        <w:rPr/>
      </w:pPr>
      <w:bookmarkStart w:colFirst="0" w:colLast="0" w:name="_uh0q039f289k" w:id="4"/>
      <w:bookmarkEnd w:id="4"/>
      <w:r w:rsidDel="00000000" w:rsidR="00000000" w:rsidRPr="00000000">
        <w:rPr>
          <w:rtl w:val="0"/>
        </w:rPr>
        <w:t xml:space="preserve">2. Estructura y Componentes de un Prompt Eficaz</w:t>
      </w:r>
    </w:p>
    <w:p w:rsidR="00000000" w:rsidDel="00000000" w:rsidP="00000000" w:rsidRDefault="00000000" w:rsidRPr="00000000" w14:paraId="0000000A">
      <w:pPr>
        <w:rPr/>
      </w:pPr>
      <w:r w:rsidDel="00000000" w:rsidR="00000000" w:rsidRPr="00000000">
        <w:rPr>
          <w:rtl w:val="0"/>
        </w:rPr>
        <w:t xml:space="preserve">Un prompt robusto no es una instrucción aislada, sino una composición de cuatro elementos básicos:</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Contexto:</w:t>
      </w:r>
      <w:r w:rsidDel="00000000" w:rsidR="00000000" w:rsidRPr="00000000">
        <w:rPr>
          <w:rtl w:val="0"/>
        </w:rPr>
        <w:t xml:space="preserve">  Antecedentes o entorno que guía la respuesta (ej. "Eres un agente de servicio al cliente").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Instrucciones:</w:t>
      </w:r>
      <w:r w:rsidDel="00000000" w:rsidR="00000000" w:rsidRPr="00000000">
        <w:rPr>
          <w:rtl w:val="0"/>
        </w:rPr>
        <w:t xml:space="preserve">  La tarea específica que el modelo debe realizar.</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Datos de entrada:</w:t>
      </w:r>
      <w:r w:rsidDel="00000000" w:rsidR="00000000" w:rsidRPr="00000000">
        <w:rPr>
          <w:rtl w:val="0"/>
        </w:rPr>
        <w:t xml:space="preserve">  La información específica que se va a procesar (ej. el mensaje del cliente).</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Indicador de salida:</w:t>
      </w:r>
      <w:r w:rsidDel="00000000" w:rsidR="00000000" w:rsidRPr="00000000">
        <w:rPr>
          <w:rtl w:val="0"/>
        </w:rPr>
        <w:t xml:space="preserve">  Definición del formato o etiqueta de la respuesta (ej. "Responder en 2-3 frases en formato JSON").</w:t>
      </w:r>
    </w:p>
    <w:p w:rsidR="00000000" w:rsidDel="00000000" w:rsidP="00000000" w:rsidRDefault="00000000" w:rsidRPr="00000000" w14:paraId="0000000F">
      <w:pPr>
        <w:pStyle w:val="Heading5"/>
        <w:rPr/>
      </w:pPr>
      <w:bookmarkStart w:colFirst="0" w:colLast="0" w:name="_tj37b1qefa37" w:id="5"/>
      <w:bookmarkEnd w:id="5"/>
      <w:r w:rsidDel="00000000" w:rsidR="00000000" w:rsidRPr="00000000">
        <w:rPr>
          <w:rtl w:val="0"/>
        </w:rPr>
        <w:t xml:space="preserve">Sinergia entre Prompts de Sistema y de Usuario</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Prompt de Sistema:</w:t>
      </w:r>
      <w:r w:rsidDel="00000000" w:rsidR="00000000" w:rsidRPr="00000000">
        <w:rPr>
          <w:rtl w:val="0"/>
        </w:rPr>
        <w:t xml:space="preserve">  Establece las "reglas del juego", la personalidad o el manual de comportamiento del modelo. Asegura la consistencia en el tono y el estilo.</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Prompt de Usuario:</w:t>
      </w:r>
      <w:r w:rsidDel="00000000" w:rsidR="00000000" w:rsidRPr="00000000">
        <w:rPr>
          <w:rtl w:val="0"/>
        </w:rPr>
        <w:t xml:space="preserve">  Entrega la consulta o tarea específica operando dentro de los límites establecidos por el sistema.</w:t>
      </w:r>
    </w:p>
    <w:p w:rsidR="00000000" w:rsidDel="00000000" w:rsidP="00000000" w:rsidRDefault="00000000" w:rsidRPr="00000000" w14:paraId="00000012">
      <w:pPr>
        <w:pStyle w:val="Heading4"/>
        <w:rPr/>
      </w:pPr>
      <w:bookmarkStart w:colFirst="0" w:colLast="0" w:name="_ogo1mdsof73k" w:id="6"/>
      <w:bookmarkEnd w:id="6"/>
      <w:r w:rsidDel="00000000" w:rsidR="00000000" w:rsidRPr="00000000">
        <w:rPr>
          <w:rtl w:val="0"/>
        </w:rPr>
        <w:t xml:space="preserve">3. Mejores Prácticas para el Diseño de Prompts</w:t>
      </w:r>
    </w:p>
    <w:p w:rsidR="00000000" w:rsidDel="00000000" w:rsidP="00000000" w:rsidRDefault="00000000" w:rsidRPr="00000000" w14:paraId="00000013">
      <w:pPr>
        <w:rPr/>
      </w:pPr>
      <w:r w:rsidDel="00000000" w:rsidR="00000000" w:rsidRPr="00000000">
        <w:rPr>
          <w:rtl w:val="0"/>
        </w:rPr>
        <w:t xml:space="preserve">Para modelos que no son exclusivamente de razonamiento, se recomiendan cinco pilares estratégicos:</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Instrucciones Claras:</w:t>
      </w:r>
      <w:r w:rsidDel="00000000" w:rsidR="00000000" w:rsidRPr="00000000">
        <w:rPr>
          <w:rtl w:val="0"/>
        </w:rPr>
        <w:t xml:space="preserve">  Tratar al LLM como a un empleado novato; especificar roles, objetivos, pasos y guías.</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Texto Estructurado:</w:t>
      </w:r>
      <w:r w:rsidDel="00000000" w:rsidR="00000000" w:rsidRPr="00000000">
        <w:rPr>
          <w:rtl w:val="0"/>
        </w:rPr>
        <w:t xml:space="preserve">  Utilizar Markdown (encabezados, listas) y XML para organizar instrucciones y metadatos.</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Ejemplos Relevantes:</w:t>
      </w:r>
      <w:r w:rsidDel="00000000" w:rsidR="00000000" w:rsidRPr="00000000">
        <w:rPr>
          <w:rtl w:val="0"/>
        </w:rPr>
        <w:t xml:space="preserve">  Proporcionar pares de entrada-salida para ilustrar el estilo deseado, limitándolos a lo esencial para controlar costo y velocidad.</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Contexto Específico:</w:t>
      </w:r>
      <w:r w:rsidDel="00000000" w:rsidR="00000000" w:rsidRPr="00000000">
        <w:rPr>
          <w:rtl w:val="0"/>
        </w:rPr>
        <w:t xml:space="preserve">  Añadir información del dominio (vía documentos o RAG) para minimizar alucinaciones y exigir que el modelo cite fuentes.</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Uso de LLM (Meta-prompting):</w:t>
      </w:r>
      <w:r w:rsidDel="00000000" w:rsidR="00000000" w:rsidRPr="00000000">
        <w:rPr>
          <w:rtl w:val="0"/>
        </w:rPr>
        <w:t xml:space="preserve">  Utilizar un LLM para criticar borradores, reescribir para mayor claridad o depurar salidas incorrectas.</w:t>
      </w:r>
    </w:p>
    <w:p w:rsidR="00000000" w:rsidDel="00000000" w:rsidP="00000000" w:rsidRDefault="00000000" w:rsidRPr="00000000" w14:paraId="00000019">
      <w:pPr>
        <w:pStyle w:val="Heading4"/>
        <w:rPr/>
      </w:pPr>
      <w:bookmarkStart w:colFirst="0" w:colLast="0" w:name="_el2a9dec14x0" w:id="7"/>
      <w:bookmarkEnd w:id="7"/>
      <w:r w:rsidDel="00000000" w:rsidR="00000000" w:rsidRPr="00000000">
        <w:rPr>
          <w:rtl w:val="0"/>
        </w:rPr>
        <w:t xml:space="preserve">4. Técnicas Avanzadas de Razonamiento</w:t>
      </w:r>
    </w:p>
    <w:p w:rsidR="00000000" w:rsidDel="00000000" w:rsidP="00000000" w:rsidRDefault="00000000" w:rsidRPr="00000000" w14:paraId="0000001A">
      <w:pPr>
        <w:rPr/>
      </w:pPr>
      <w:r w:rsidDel="00000000" w:rsidR="00000000" w:rsidRPr="00000000">
        <w:rPr>
          <w:rtl w:val="0"/>
        </w:rPr>
        <w:t xml:space="preserve">A partir de 2022, se han desarrollado marcos de trabajo para mejorar el rendimiento en tareas complejas que requieren lógica y planificación.</w:t>
      </w:r>
    </w:p>
    <w:p w:rsidR="00000000" w:rsidDel="00000000" w:rsidP="00000000" w:rsidRDefault="00000000" w:rsidRPr="00000000" w14:paraId="0000001B">
      <w:pPr>
        <w:pStyle w:val="Heading5"/>
        <w:rPr/>
      </w:pPr>
      <w:bookmarkStart w:colFirst="0" w:colLast="0" w:name="_9cehhud7gcl6" w:id="8"/>
      <w:bookmarkEnd w:id="8"/>
      <w:r w:rsidDel="00000000" w:rsidR="00000000" w:rsidRPr="00000000">
        <w:rPr>
          <w:rtl w:val="0"/>
        </w:rPr>
        <w:t xml:space="preserve">Cadena de Pensamiento (Chain-of-Thought - CoT)</w:t>
      </w:r>
    </w:p>
    <w:p w:rsidR="00000000" w:rsidDel="00000000" w:rsidP="00000000" w:rsidRDefault="00000000" w:rsidRPr="00000000" w14:paraId="0000001C">
      <w:pPr>
        <w:rPr/>
      </w:pPr>
      <w:r w:rsidDel="00000000" w:rsidR="00000000" w:rsidRPr="00000000">
        <w:rPr>
          <w:rtl w:val="0"/>
        </w:rPr>
        <w:t xml:space="preserve">Instruye al modelo para que verbalice su razonamiento paso a paso.</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Zero-shot CoT:</w:t>
      </w:r>
      <w:r w:rsidDel="00000000" w:rsidR="00000000" w:rsidRPr="00000000">
        <w:rPr>
          <w:rtl w:val="0"/>
        </w:rPr>
        <w:t xml:space="preserve">  Utiliza la frase clave  </w:t>
      </w:r>
      <w:r w:rsidDel="00000000" w:rsidR="00000000" w:rsidRPr="00000000">
        <w:rPr>
          <w:b w:val="1"/>
          <w:bCs w:val="1"/>
          <w:rtl w:val="0"/>
        </w:rPr>
        <w:t xml:space="preserve">"Pensemos paso a paso"</w:t>
      </w:r>
      <w:r w:rsidDel="00000000" w:rsidR="00000000" w:rsidRPr="00000000">
        <w:rPr>
          <w:rtl w:val="0"/>
        </w:rPr>
        <w:t xml:space="preserve">  (Let's think step by step). Esta simple adición puede elevar la precisión de un 17.7% a un 78.7% en ciertos benchmarks.</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Auto-CoT (2022):</w:t>
      </w:r>
      <w:r w:rsidDel="00000000" w:rsidR="00000000" w:rsidRPr="00000000">
        <w:rPr>
          <w:rtl w:val="0"/>
        </w:rPr>
        <w:t xml:space="preserve">  Automatiza la generación de demostraciones de razonamiento, superando la eficiencia del CoT manual.</w:t>
      </w:r>
    </w:p>
    <w:p w:rsidR="00000000" w:rsidDel="00000000" w:rsidP="00000000" w:rsidRDefault="00000000" w:rsidRPr="00000000" w14:paraId="0000001F">
      <w:pPr>
        <w:pStyle w:val="Heading5"/>
        <w:rPr/>
      </w:pPr>
      <w:bookmarkStart w:colFirst="0" w:colLast="0" w:name="_gdayeaki3k5v" w:id="9"/>
      <w:bookmarkEnd w:id="9"/>
      <w:r w:rsidDel="00000000" w:rsidR="00000000" w:rsidRPr="00000000">
        <w:rPr>
          <w:rtl w:val="0"/>
        </w:rPr>
        <w:t xml:space="preserve">Metodologías de Resolución de Problemas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Self-Consistency (2022):</w:t>
      </w:r>
      <w:r w:rsidDel="00000000" w:rsidR="00000000" w:rsidRPr="00000000">
        <w:rPr>
          <w:rtl w:val="0"/>
        </w:rPr>
        <w:t xml:space="preserve">  Genera múltiples respuestas al mismo prompt y selecciona la más consistente.</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Least-to-Most Prompting (2022):</w:t>
      </w:r>
      <w:r w:rsidDel="00000000" w:rsidR="00000000" w:rsidRPr="00000000">
        <w:rPr>
          <w:rtl w:val="0"/>
        </w:rPr>
        <w:t xml:space="preserve">  Descompone problemas complejos en subproblemas secuenciales.</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Tree of Thoughts (ToT, 2023):</w:t>
      </w:r>
      <w:r w:rsidDel="00000000" w:rsidR="00000000" w:rsidRPr="00000000">
        <w:rPr>
          <w:rtl w:val="0"/>
        </w:rPr>
        <w:t xml:space="preserve">  Permite explorar múltiples caminos de razonamiento de forma estructurada (como un árbol), facilitando la corrección iterativa y la planificación.</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Long-form CoT (2024):</w:t>
      </w:r>
      <w:r w:rsidDel="00000000" w:rsidR="00000000" w:rsidRPr="00000000">
        <w:rPr>
          <w:rtl w:val="0"/>
        </w:rPr>
        <w:t xml:space="preserve">  Fomenta un pensamiento "Sistema 2" (lento y analítico) mediante procesos no lineales de lluvia de ideas, autocorrección y verificación detallada.</w:t>
      </w:r>
    </w:p>
    <w:p w:rsidR="00000000" w:rsidDel="00000000" w:rsidP="00000000" w:rsidRDefault="00000000" w:rsidRPr="00000000" w14:paraId="00000024">
      <w:pPr>
        <w:pStyle w:val="Heading4"/>
        <w:rPr/>
      </w:pPr>
      <w:bookmarkStart w:colFirst="0" w:colLast="0" w:name="_k075tv9m1205" w:id="10"/>
      <w:bookmarkEnd w:id="10"/>
      <w:r w:rsidDel="00000000" w:rsidR="00000000" w:rsidRPr="00000000">
        <w:rPr>
          <w:rtl w:val="0"/>
        </w:rPr>
        <w:t xml:space="preserve">5. Mitigación de Errores y Alucinaciones</w:t>
      </w:r>
    </w:p>
    <w:p w:rsidR="00000000" w:rsidDel="00000000" w:rsidP="00000000" w:rsidRDefault="00000000" w:rsidRPr="00000000" w14:paraId="00000025">
      <w:pPr>
        <w:rPr/>
      </w:pPr>
      <w:r w:rsidDel="00000000" w:rsidR="00000000" w:rsidRPr="00000000">
        <w:rPr>
          <w:rtl w:val="0"/>
        </w:rPr>
        <w:t xml:space="preserve">Las fuentes identifican dos tipos principales de fallas en los LLM: errores de razonamiento e inexactitudes factuales. Para resolver estas últimas, el modelo debe anclarse a verdades externas.</w:t>
      </w:r>
    </w:p>
    <w:p w:rsidR="00000000" w:rsidDel="00000000" w:rsidP="00000000" w:rsidRDefault="00000000" w:rsidRPr="00000000" w14:paraId="00000026">
      <w:pPr>
        <w:pStyle w:val="Heading5"/>
        <w:rPr/>
      </w:pPr>
      <w:bookmarkStart w:colFirst="0" w:colLast="0" w:name="_o8tbq0q5sfls" w:id="11"/>
      <w:bookmarkEnd w:id="11"/>
      <w:r w:rsidDel="00000000" w:rsidR="00000000" w:rsidRPr="00000000">
        <w:rPr>
          <w:rtl w:val="0"/>
        </w:rPr>
        <w:t xml:space="preserve">Sistemas Verificables</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Generación Aumentada por Recuperación (RAG, 2020):</w:t>
      </w:r>
      <w:r w:rsidDel="00000000" w:rsidR="00000000" w:rsidRPr="00000000">
        <w:rPr>
          <w:rtl w:val="0"/>
        </w:rPr>
        <w:t xml:space="preserve">  Analiza la entrada, recupera documentos relevantes de una base de conocimientos y restringe al modelo a responder únicamente basándose en ese contexto.</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ReAct (Reason + Act, 2022):</w:t>
      </w:r>
      <w:r w:rsidDel="00000000" w:rsidR="00000000" w:rsidRPr="00000000">
        <w:rPr>
          <w:rtl w:val="0"/>
        </w:rPr>
        <w:t xml:space="preserve">  Combina el razonamiento verbalizado con la ejecución de acciones (como llamadas a API o búsquedas). Las observaciones de los resultados permiten al modelo revisar su lógica si una acción falla.</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Cadena de Verificación (CoVe, 2023):</w:t>
      </w:r>
      <w:r w:rsidDel="00000000" w:rsidR="00000000" w:rsidRPr="00000000">
        <w:rPr>
          <w:rtl w:val="0"/>
        </w:rPr>
        <w:t xml:space="preserve">  Un proceso de cuatro pasos: Generar borrador -&gt; Planear preguntas de verificación -&gt; Ejecutar respuestas independientes -&gt; Generar resultado final verificado.</w:t>
      </w:r>
    </w:p>
    <w:p w:rsidR="00000000" w:rsidDel="00000000" w:rsidP="00000000" w:rsidRDefault="00000000" w:rsidRPr="00000000" w14:paraId="0000002A">
      <w:pPr>
        <w:pStyle w:val="Heading4"/>
        <w:rPr/>
      </w:pPr>
      <w:bookmarkStart w:colFirst="0" w:colLast="0" w:name="_lnblbfawwfg8" w:id="12"/>
      <w:bookmarkEnd w:id="12"/>
      <w:r w:rsidDel="00000000" w:rsidR="00000000" w:rsidRPr="00000000">
        <w:rPr>
          <w:rtl w:val="0"/>
        </w:rPr>
        <w:t xml:space="preserve">Conclusión</w:t>
      </w:r>
    </w:p>
    <w:p w:rsidR="00000000" w:rsidDel="00000000" w:rsidP="00000000" w:rsidRDefault="00000000" w:rsidRPr="00000000" w14:paraId="0000002B">
      <w:pPr>
        <w:rPr/>
      </w:pPr>
      <w:r w:rsidDel="00000000" w:rsidR="00000000" w:rsidRPr="00000000">
        <w:rPr>
          <w:rtl w:val="0"/>
        </w:rPr>
        <w:t xml:space="preserve">La ingeniería de prompts ha trascendido el acto de escribir texto en una caja para convertirse en la disciplina de construir infraestructura de IA confiable y escalable. Desde la intuición inicial hasta los árboles de búsqueda multidimensionales, el dominio de estos marcos de trabajo es esencial para desplegar sistemas de alta precisión que minimicen el riesgo de fabricación de información.</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