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9ztg5in0q7b" w:id="0"/>
      <w:bookmarkEnd w:id="0"/>
      <w:r w:rsidDel="00000000" w:rsidR="00000000" w:rsidRPr="00000000">
        <w:rPr>
          <w:rtl w:val="0"/>
        </w:rPr>
        <w:t xml:space="preserve">Análisis Integral de la Gestión de Contexto Largo y Mitigación de Sesgos en Modelos de Lenguaje (LLMs) #### Resumen Ejecutivo El avance hacia modelos de lenguaje de gran escala (LLMs) con ventanas de contexto extendidas —que en 2026 superan el millón de tokens— ha revelado vulnerabilidades críticas en el procesamiento de información. El fenómeno predominante, conocido como </w:t>
      </w:r>
      <w:r w:rsidDel="00000000" w:rsidR="00000000" w:rsidRPr="00000000">
        <w:rPr>
          <w:b w:val="1"/>
          <w:bCs w:val="1"/>
          <w:rtl w:val="0"/>
        </w:rPr>
        <w:t xml:space="preserve">"Lost in the Middle"</w:t>
      </w:r>
      <w:r w:rsidDel="00000000" w:rsidR="00000000" w:rsidRPr="00000000">
        <w:rPr>
          <w:rtl w:val="0"/>
        </w:rPr>
        <w:t xml:space="preserve"> (perdido en el medio), describe una degradación significativa del rendimiento cuando la información relevante se ubica en el centro de la secuencia de entrada. Investigaciones recientes demuestran que esta "degradación de la inteligencia" no es gradual, sino catastrófica, con umbrales críticos identificados entre el 40% y 50% de la capacidad máxima del contexto, donde la precisión puede caer más del 30% (un efecto denominado "adaptación superficial de contexto largo"). Para mitigar estos fallos, es imperativo transitar de una recuperación estática a una </w:t>
      </w:r>
      <w:r w:rsidDel="00000000" w:rsidR="00000000" w:rsidRPr="00000000">
        <w:rPr>
          <w:b w:val="1"/>
          <w:bCs w:val="1"/>
          <w:rtl w:val="0"/>
        </w:rPr>
        <w:t xml:space="preserve">Arquitectura RAG Dinámica</w:t>
      </w:r>
      <w:r w:rsidDel="00000000" w:rsidR="00000000" w:rsidRPr="00000000">
        <w:rPr>
          <w:rtl w:val="0"/>
        </w:rPr>
        <w:t xml:space="preserve"> . Esto incluye el uso de clasificadores para predecir el número óptimo de documentos (dynamic-k), sistemas de recuperación de dos etapas (búsqueda híbrida seguida de </w:t>
      </w:r>
      <w:r w:rsidDel="00000000" w:rsidR="00000000" w:rsidRPr="00000000">
        <w:rPr>
          <w:i w:val="1"/>
          <w:iCs w:val="1"/>
          <w:rtl w:val="0"/>
        </w:rPr>
        <w:t xml:space="preserve">reranking</w:t>
      </w:r>
      <w:r w:rsidDel="00000000" w:rsidR="00000000" w:rsidRPr="00000000">
        <w:rPr>
          <w:rtl w:val="0"/>
        </w:rPr>
        <w:t xml:space="preserve"> ) y estrategias de </w:t>
      </w:r>
      <w:r w:rsidDel="00000000" w:rsidR="00000000" w:rsidRPr="00000000">
        <w:rPr>
          <w:i w:val="1"/>
          <w:iCs w:val="1"/>
          <w:rtl w:val="0"/>
        </w:rPr>
        <w:t xml:space="preserve">prompting</w:t>
      </w:r>
      <w:r w:rsidDel="00000000" w:rsidR="00000000" w:rsidRPr="00000000">
        <w:rPr>
          <w:rtl w:val="0"/>
        </w:rPr>
        <w:t xml:space="preserve"> que empleen marcadores estructurales (XML) y posicionamiento estratégico. La evidencia sugiere que los modelos priorizan la información al inicio (primacía) y al final (recencia) debido a sesgos arquitectónicos (RoPE) y dinámicas de atención ( </w:t>
      </w:r>
      <w:r w:rsidDel="00000000" w:rsidR="00000000" w:rsidRPr="00000000">
        <w:rPr>
          <w:i w:val="1"/>
          <w:iCs w:val="1"/>
          <w:rtl w:val="0"/>
        </w:rPr>
        <w:t xml:space="preserve">attention sinks</w:t>
      </w:r>
      <w:r w:rsidDel="00000000" w:rsidR="00000000" w:rsidRPr="00000000">
        <w:rPr>
          <w:rtl w:val="0"/>
        </w:rPr>
        <w:t xml:space="preserve"> ). #### 1. El Fenómeno "Lost in the Middle" y la Degradación de la Inteligencia El rendimiento de los LLMs tiende a seguir una curva en forma de U: la precisión es máxima cuando la información relevante se encuentra al principio o al final del contexto proporcionado, pero disminuye drásticamente en el centro. ##### 1.1 Umbrales Críticos de Rendimiento Estudios sistemáticos en modelos como Qwen2.5-7B han identificado puntos de ruptura específicos. Se define la "degradación de inteligencia" como una caída superior al 30% en el rendimiento de tareas compuestas. | Región de Contexto | Rango de Longitud | Rendimiento (F1 Score) | Características | | ------ | ------ | ------ | ------ | | </w:t>
      </w:r>
      <w:r w:rsidDel="00000000" w:rsidR="00000000" w:rsidRPr="00000000">
        <w:rPr>
          <w:b w:val="1"/>
          <w:bCs w:val="1"/>
          <w:rtl w:val="0"/>
        </w:rPr>
        <w:t xml:space="preserve">Región Estable</w:t>
      </w:r>
      <w:r w:rsidDel="00000000" w:rsidR="00000000" w:rsidRPr="00000000">
        <w:rPr>
          <w:rtl w:val="0"/>
        </w:rPr>
        <w:t xml:space="preserve"> | 0% - 40% | 0.55 - 0.58 | Consistencia alta; procesamiento efectivo. | | </w:t>
      </w:r>
      <w:r w:rsidDel="00000000" w:rsidR="00000000" w:rsidRPr="00000000">
        <w:rPr>
          <w:b w:val="1"/>
          <w:bCs w:val="1"/>
          <w:rtl w:val="0"/>
        </w:rPr>
        <w:t xml:space="preserve">Transición Crítica</w:t>
      </w:r>
      <w:r w:rsidDel="00000000" w:rsidR="00000000" w:rsidRPr="00000000">
        <w:rPr>
          <w:rtl w:val="0"/>
        </w:rPr>
        <w:t xml:space="preserve"> | 40% - 50% | 0.30 - 0.55 | Caída catastrófica del 45.5%; alta varianza. | | </w:t>
      </w:r>
      <w:r w:rsidDel="00000000" w:rsidR="00000000" w:rsidRPr="00000000">
        <w:rPr>
          <w:b w:val="1"/>
          <w:bCs w:val="1"/>
          <w:rtl w:val="0"/>
        </w:rPr>
        <w:t xml:space="preserve">Región Degradada</w:t>
      </w:r>
      <w:r w:rsidDel="00000000" w:rsidR="00000000" w:rsidRPr="00000000">
        <w:rPr>
          <w:rtl w:val="0"/>
        </w:rPr>
        <w:t xml:space="preserve"> | 50% - 95% | 0.25 - 0.30 | Fallo fundamental; sin recuperación de capacidad. | ##### 1.2 Adaptación Superficial ( </w:t>
      </w:r>
      <w:r w:rsidDel="00000000" w:rsidR="00000000" w:rsidRPr="00000000">
        <w:rPr>
          <w:i w:val="1"/>
          <w:iCs w:val="1"/>
          <w:rtl w:val="0"/>
        </w:rPr>
        <w:t xml:space="preserve">Shallow Adaptation</w:t>
      </w:r>
      <w:r w:rsidDel="00000000" w:rsidR="00000000" w:rsidRPr="00000000">
        <w:rPr>
          <w:rtl w:val="0"/>
        </w:rPr>
        <w:t xml:space="preserve"> ) Este marco unificado explica por qué los modelos mantienen un rendimiento sólido hasta un punto crítico, tras el cual colapsan. La degradación ocurre incluso cuando la información sigue siendo relevante, lo que sugiere que las arquitecturas actuales fallan al mantener la coherencia a medida que la longitud se acerca a los límites teóricos del modelo. #### 2. Mecanismos Subyacentes y Causas del Sesgo Posicional La incapacidad de los modelos para utilizar el centro del contexto se debe a una combinación de factores arquitectónicos, de entrenamiento y de transmisión de información. * </w:t>
      </w:r>
      <w:r w:rsidDel="00000000" w:rsidR="00000000" w:rsidRPr="00000000">
        <w:rPr>
          <w:b w:val="1"/>
          <w:bCs w:val="1"/>
          <w:rtl w:val="0"/>
        </w:rPr>
        <w:t xml:space="preserve">Decaimiento de RoPE (Rotary Position Embedding):</w:t>
      </w:r>
      <w:r w:rsidDel="00000000" w:rsidR="00000000" w:rsidRPr="00000000">
        <w:rPr>
          <w:rtl w:val="0"/>
        </w:rPr>
        <w:t xml:space="preserve"> Esta técnica común de codificación posicional introduce un efecto de decaimiento a largo plazo. Los modelos priorizan los tokens extremos mientras desestiman el contenido intermedio. Superado el 40-50% del rango efectivo, ocurre un "alias de posición", donde las ubicaciones distantes se vuelven indistinguibles. * </w:t>
      </w:r>
      <w:r w:rsidDel="00000000" w:rsidR="00000000" w:rsidRPr="00000000">
        <w:rPr>
          <w:b w:val="1"/>
          <w:bCs w:val="1"/>
          <w:rtl w:val="0"/>
        </w:rPr>
        <w:t xml:space="preserve">Dispersión de la Atención:</w:t>
      </w:r>
      <w:r w:rsidDel="00000000" w:rsidR="00000000" w:rsidRPr="00000000">
        <w:rPr>
          <w:rtl w:val="0"/>
        </w:rPr>
        <w:t xml:space="preserve"> A medida que el contexto crece, los pesos de atención se distribuyen de manera más uniforme (aumento de la entropía de atención), reduciendo la capacidad del modelo para enfocarse en señales específicas. * </w:t>
      </w:r>
      <w:r w:rsidDel="00000000" w:rsidR="00000000" w:rsidRPr="00000000">
        <w:rPr>
          <w:b w:val="1"/>
          <w:bCs w:val="1"/>
          <w:rtl w:val="0"/>
        </w:rPr>
        <w:t xml:space="preserve">Attention Sinks (Sumideros de Atención):</w:t>
      </w:r>
      <w:r w:rsidDel="00000000" w:rsidR="00000000" w:rsidRPr="00000000">
        <w:rPr>
          <w:rtl w:val="0"/>
        </w:rPr>
        <w:t xml:space="preserve"> Los tokens iniciales atraen desproporcionadamente la atención, incluso si carecen de valor semántico. Se ha demostrado que estos "sumideros" son vitales para la memoria a largo plazo (primacía), pero su disrupción colapsa el rendimiento en secuencias largas. * </w:t>
      </w:r>
      <w:r w:rsidDel="00000000" w:rsidR="00000000" w:rsidRPr="00000000">
        <w:rPr>
          <w:b w:val="1"/>
          <w:bCs w:val="1"/>
          <w:rtl w:val="0"/>
        </w:rPr>
        <w:t xml:space="preserve">Sesgo de Entrenamiento:</w:t>
      </w:r>
      <w:r w:rsidDel="00000000" w:rsidR="00000000" w:rsidRPr="00000000">
        <w:rPr>
          <w:rtl w:val="0"/>
        </w:rPr>
        <w:t xml:space="preserve"> La mayoría de los datos de entrenamiento consisten en secuencias cortas, lo que lleva a los modelos a optimizar atajos que funcionan bien en contextos reducidos pero fallan en distribuciones extensas. #### 3. Optimización de la Arquitectura RAG (Retrieval-Augmented Generation) Para combatir el ruido de los distractores y el sesgo posicional, los sistemas RAG modernos deben evolucionar hacia configuraciones dinámicas. ##### 3.1 Recuperación de Dos Etapas y Reranking Un enfoque de "fijo-k" es ineficiente; demasiados documentos introducen ruido (distractores), mientras que muy pocos pueden omitir la respuesta. La solución óptima es: 1. </w:t>
      </w:r>
      <w:r w:rsidDel="00000000" w:rsidR="00000000" w:rsidRPr="00000000">
        <w:rPr>
          <w:b w:val="1"/>
          <w:bCs w:val="1"/>
          <w:rtl w:val="0"/>
        </w:rPr>
        <w:t xml:space="preserve">Recuperación Primaria:</w:t>
      </w:r>
      <w:r w:rsidDel="00000000" w:rsidR="00000000" w:rsidRPr="00000000">
        <w:rPr>
          <w:rtl w:val="0"/>
        </w:rPr>
        <w:t xml:space="preserve"> Búsqueda híbrida (semántica vectorial + BM25 por palabras clave) para maximizar la recuperación ( </w:t>
      </w:r>
      <w:r w:rsidDel="00000000" w:rsidR="00000000" w:rsidRPr="00000000">
        <w:rPr>
          <w:i w:val="1"/>
          <w:iCs w:val="1"/>
          <w:rtl w:val="0"/>
        </w:rPr>
        <w:t xml:space="preserve">recall</w:t>
      </w:r>
      <w:r w:rsidDel="00000000" w:rsidR="00000000" w:rsidRPr="00000000">
        <w:rPr>
          <w:rtl w:val="0"/>
        </w:rPr>
        <w:t xml:space="preserve"> ). 2. </w:t>
      </w:r>
      <w:r w:rsidDel="00000000" w:rsidR="00000000" w:rsidRPr="00000000">
        <w:rPr>
          <w:b w:val="1"/>
          <w:bCs w:val="1"/>
          <w:rtl w:val="0"/>
        </w:rPr>
        <w:t xml:space="preserve">Reranking:</w:t>
      </w:r>
      <w:r w:rsidDel="00000000" w:rsidR="00000000" w:rsidRPr="00000000">
        <w:rPr>
          <w:rtl w:val="0"/>
        </w:rPr>
        <w:t xml:space="preserve"> Modelos de interacción tardía ( </w:t>
      </w:r>
      <w:r w:rsidDel="00000000" w:rsidR="00000000" w:rsidRPr="00000000">
        <w:rPr>
          <w:i w:val="1"/>
          <w:iCs w:val="1"/>
          <w:rtl w:val="0"/>
        </w:rPr>
        <w:t xml:space="preserve">cross-encoders</w:t>
      </w:r>
      <w:r w:rsidDel="00000000" w:rsidR="00000000" w:rsidRPr="00000000">
        <w:rPr>
          <w:rtl w:val="0"/>
        </w:rPr>
        <w:t xml:space="preserve"> ) que reasignan puntuaciones de relevancia y reordenan los fragmentos. El uso de </w:t>
      </w:r>
      <w:r w:rsidDel="00000000" w:rsidR="00000000" w:rsidRPr="00000000">
        <w:rPr>
          <w:i w:val="1"/>
          <w:iCs w:val="1"/>
          <w:rtl w:val="0"/>
        </w:rPr>
        <w:t xml:space="preserve">rerankers</w:t>
      </w:r>
      <w:r w:rsidDel="00000000" w:rsidR="00000000" w:rsidRPr="00000000">
        <w:rPr>
          <w:rtl w:val="0"/>
        </w:rPr>
        <w:t xml:space="preserve"> puede mejorar la precisión entre un 15% y 30%. ##### 3.2 Estrategia de Selección Dinámica (Classifier-k) Se propone la integración de clasificadores que predicen el número exacto de documentos necesarios según la complejidad de la consulta (por ejemplo, consultas multi-salto requieren más contexto que las de un solo paso). * </w:t>
      </w:r>
      <w:r w:rsidDel="00000000" w:rsidR="00000000" w:rsidRPr="00000000">
        <w:rPr>
          <w:b w:val="1"/>
          <w:bCs w:val="1"/>
          <w:rtl w:val="0"/>
        </w:rPr>
        <w:t xml:space="preserve">Impacto de los distractores:</w:t>
      </w:r>
      <w:r w:rsidDel="00000000" w:rsidR="00000000" w:rsidRPr="00000000">
        <w:rPr>
          <w:rtl w:val="0"/>
        </w:rPr>
        <w:t xml:space="preserve"> En tareas multi-salto (multi-hop QA), un solo distractor puede reducir el rendimiento en más de un 26% para preguntas de 2 saltos. Los clasificadores dinámicos ayudan a filtrar este ruido antes de la generación final. #### 4. Estrategias de Ingeniería de Contexto y Prompting El manejo de la ventana de contexto requiere una disposición deliberada de los elementos para aprovechar las zonas de alta fidelidad del modelo. ##### 4.1 Mapa de Propósito según Posición | Posición | Fiabilidad | Contenido Recomendado | | ------ | ------ | ------ | | </w:t>
      </w:r>
      <w:r w:rsidDel="00000000" w:rsidR="00000000" w:rsidRPr="00000000">
        <w:rPr>
          <w:b w:val="1"/>
          <w:bCs w:val="1"/>
          <w:rtl w:val="0"/>
        </w:rPr>
        <w:t xml:space="preserve">Inicio (Top)</w:t>
      </w:r>
      <w:r w:rsidDel="00000000" w:rsidR="00000000" w:rsidRPr="00000000">
        <w:rPr>
          <w:rtl w:val="0"/>
        </w:rPr>
        <w:t xml:space="preserve"> | Muy Alta | Rol del sistema, esquemas de salida (JSON), reglas críticas. | | </w:t>
      </w:r>
      <w:r w:rsidDel="00000000" w:rsidR="00000000" w:rsidRPr="00000000">
        <w:rPr>
          <w:b w:val="1"/>
          <w:bCs w:val="1"/>
          <w:rtl w:val="0"/>
        </w:rPr>
        <w:t xml:space="preserve">Centro-Superior</w:t>
      </w:r>
      <w:r w:rsidDel="00000000" w:rsidR="00000000" w:rsidRPr="00000000">
        <w:rPr>
          <w:rtl w:val="0"/>
        </w:rPr>
        <w:t xml:space="preserve"> | Media | Material de referencia estable, políticas. | | </w:t>
      </w:r>
      <w:r w:rsidDel="00000000" w:rsidR="00000000" w:rsidRPr="00000000">
        <w:rPr>
          <w:b w:val="1"/>
          <w:bCs w:val="1"/>
          <w:rtl w:val="0"/>
        </w:rPr>
        <w:t xml:space="preserve">Centro (Middle)</w:t>
      </w:r>
      <w:r w:rsidDel="00000000" w:rsidR="00000000" w:rsidRPr="00000000">
        <w:rPr>
          <w:rtl w:val="0"/>
        </w:rPr>
        <w:t xml:space="preserve"> | </w:t>
      </w:r>
      <w:r w:rsidDel="00000000" w:rsidR="00000000" w:rsidRPr="00000000">
        <w:rPr>
          <w:b w:val="1"/>
          <w:bCs w:val="1"/>
          <w:rtl w:val="0"/>
        </w:rPr>
        <w:t xml:space="preserve">Baja</w:t>
      </w:r>
      <w:r w:rsidDel="00000000" w:rsidR="00000000" w:rsidRPr="00000000">
        <w:rPr>
          <w:rtl w:val="0"/>
        </w:rPr>
        <w:t xml:space="preserve"> | Contenido voluminoso, documentos fuente, historial largo. | | </w:t>
      </w:r>
      <w:r w:rsidDel="00000000" w:rsidR="00000000" w:rsidRPr="00000000">
        <w:rPr>
          <w:b w:val="1"/>
          <w:bCs w:val="1"/>
          <w:rtl w:val="0"/>
        </w:rPr>
        <w:t xml:space="preserve">Final (End)</w:t>
      </w:r>
      <w:r w:rsidDel="00000000" w:rsidR="00000000" w:rsidRPr="00000000">
        <w:rPr>
          <w:rtl w:val="0"/>
        </w:rPr>
        <w:t xml:space="preserve"> | Muy Alta | Tarea específica, restricciones finales, </w:t>
      </w:r>
      <w:r w:rsidDel="00000000" w:rsidR="00000000" w:rsidRPr="00000000">
        <w:rPr>
          <w:b w:val="1"/>
          <w:bCs w:val="1"/>
          <w:rtl w:val="0"/>
        </w:rPr>
        <w:t xml:space="preserve">repetición de la instrucción</w:t>
      </w:r>
      <w:r w:rsidDel="00000000" w:rsidR="00000000" w:rsidRPr="00000000">
        <w:rPr>
          <w:rtl w:val="0"/>
        </w:rPr>
        <w:t xml:space="preserve"> . | ##### 4.2 Tácticas de Estructuración * </w:t>
      </w:r>
      <w:r w:rsidDel="00000000" w:rsidR="00000000" w:rsidRPr="00000000">
        <w:rPr>
          <w:b w:val="1"/>
          <w:bCs w:val="1"/>
          <w:rtl w:val="0"/>
        </w:rPr>
        <w:t xml:space="preserve">Marcadores XML:</w:t>
      </w:r>
      <w:r w:rsidDel="00000000" w:rsidR="00000000" w:rsidRPr="00000000">
        <w:rPr>
          <w:rtl w:val="0"/>
        </w:rPr>
        <w:t xml:space="preserve"> El uso de etiquetas como ... ayuda al modelo a segmentar y navegar por el contexto de manera clara. * </w:t>
      </w:r>
      <w:r w:rsidDel="00000000" w:rsidR="00000000" w:rsidRPr="00000000">
        <w:rPr>
          <w:b w:val="1"/>
          <w:bCs w:val="1"/>
          <w:rtl w:val="0"/>
        </w:rPr>
        <w:t xml:space="preserve">Anclajes de Referencia Explícitos:</w:t>
      </w:r>
      <w:r w:rsidDel="00000000" w:rsidR="00000000" w:rsidRPr="00000000">
        <w:rPr>
          <w:rtl w:val="0"/>
        </w:rPr>
        <w:t xml:space="preserve"> En lugar de decir "usa el contexto anterior", se debe instruir: "utilizando la política en la sección , revisa el contrato en ". * </w:t>
      </w:r>
      <w:r w:rsidDel="00000000" w:rsidR="00000000" w:rsidRPr="00000000">
        <w:rPr>
          <w:b w:val="1"/>
          <w:bCs w:val="1"/>
          <w:rtl w:val="0"/>
        </w:rPr>
        <w:t xml:space="preserve">Regla de Repetición al Final:</w:t>
      </w:r>
      <w:r w:rsidDel="00000000" w:rsidR="00000000" w:rsidRPr="00000000">
        <w:rPr>
          <w:rtl w:val="0"/>
        </w:rPr>
        <w:t xml:space="preserve"> En contextos extremadamente largos, repetir la pregunta o instrucción al final del </w:t>
      </w:r>
      <w:r w:rsidDel="00000000" w:rsidR="00000000" w:rsidRPr="00000000">
        <w:rPr>
          <w:i w:val="1"/>
          <w:iCs w:val="1"/>
          <w:rtl w:val="0"/>
        </w:rPr>
        <w:t xml:space="preserve">prompt</w:t>
      </w:r>
      <w:r w:rsidDel="00000000" w:rsidR="00000000" w:rsidRPr="00000000">
        <w:rPr>
          <w:rtl w:val="0"/>
        </w:rPr>
        <w:t xml:space="preserve"> mejora drásticamente la atención del modelo hacia la tarea solicitada. #### 5. Evaluación de Capacidades: La Prueba de la "Aguja en el Pajar" El estándar para medir la retención en contextos largos es el test </w:t>
      </w:r>
      <w:r w:rsidDel="00000000" w:rsidR="00000000" w:rsidRPr="00000000">
        <w:rPr>
          <w:i w:val="1"/>
          <w:iCs w:val="1"/>
          <w:rtl w:val="0"/>
        </w:rPr>
        <w:t xml:space="preserve">Needle In a Haystack</w:t>
      </w:r>
      <w:r w:rsidDel="00000000" w:rsidR="00000000" w:rsidRPr="00000000">
        <w:rPr>
          <w:rtl w:val="0"/>
        </w:rPr>
        <w:t xml:space="preserve"> (NIAH), que consiste en esconder un dato aleatorio (la aguja) en una masa de texto (el pajar). ##### 5.1 Desempeño por Modelo * </w:t>
      </w:r>
      <w:r w:rsidDel="00000000" w:rsidR="00000000" w:rsidRPr="00000000">
        <w:rPr>
          <w:b w:val="1"/>
          <w:bCs w:val="1"/>
          <w:rtl w:val="0"/>
        </w:rPr>
        <w:t xml:space="preserve">GPT-4:</w:t>
      </w:r>
      <w:r w:rsidDel="00000000" w:rsidR="00000000" w:rsidRPr="00000000">
        <w:rPr>
          <w:rtl w:val="0"/>
        </w:rPr>
        <w:t xml:space="preserve"> Líder en la industria, aunque su rendimiento decae al superar los 64k tokens, especialmente si la "aguja" está al inicio de un contexto largo. * </w:t>
      </w:r>
      <w:r w:rsidDel="00000000" w:rsidR="00000000" w:rsidRPr="00000000">
        <w:rPr>
          <w:b w:val="1"/>
          <w:bCs w:val="1"/>
          <w:rtl w:val="0"/>
        </w:rPr>
        <w:t xml:space="preserve">Claude 2.1:</w:t>
      </w:r>
      <w:r w:rsidDel="00000000" w:rsidR="00000000" w:rsidRPr="00000000">
        <w:rPr>
          <w:rtl w:val="0"/>
        </w:rPr>
        <w:t xml:space="preserve"> Inicialmente mostró dificultades (27% de precisión), pero mediante ajustes de </w:t>
      </w:r>
      <w:r w:rsidDel="00000000" w:rsidR="00000000" w:rsidRPr="00000000">
        <w:rPr>
          <w:i w:val="1"/>
          <w:iCs w:val="1"/>
          <w:rtl w:val="0"/>
        </w:rPr>
        <w:t xml:space="preserve">prompting</w:t>
      </w:r>
      <w:r w:rsidDel="00000000" w:rsidR="00000000" w:rsidRPr="00000000">
        <w:rPr>
          <w:rtl w:val="0"/>
        </w:rPr>
        <w:t xml:space="preserve"> (instrucciones para evitar afirmaciones sin fundamento y guiar la recuperación), su precisión ascendió al 98%. * </w:t>
      </w:r>
      <w:r w:rsidDel="00000000" w:rsidR="00000000" w:rsidRPr="00000000">
        <w:rPr>
          <w:b w:val="1"/>
          <w:bCs w:val="1"/>
          <w:rtl w:val="0"/>
        </w:rPr>
        <w:t xml:space="preserve">Mixtral 8x7B:</w:t>
      </w:r>
      <w:r w:rsidDel="00000000" w:rsidR="00000000" w:rsidRPr="00000000">
        <w:rPr>
          <w:rtl w:val="0"/>
        </w:rPr>
        <w:t xml:space="preserve"> Superó las expectativas para su tamaño, demostrando que las arquitecturas de Mezcla de Expertos (MoE) son altamente efectivas para tareas de recuperación. ##### 5.2 Recomendación Práctica para Desarrolladores Se recomienda realizar pruebas de "aguja" empíricas antes de desplegar sistemas en producción. Si un modelo falla en encontrar el dato en el centro pero lo halla en los extremos, se debe considerar la reordenación estratégica o la transición de una estrategia de "empaquetado total" ( </w:t>
      </w:r>
      <w:r w:rsidDel="00000000" w:rsidR="00000000" w:rsidRPr="00000000">
        <w:rPr>
          <w:i w:val="1"/>
          <w:iCs w:val="1"/>
          <w:rtl w:val="0"/>
        </w:rPr>
        <w:t xml:space="preserve">packing</w:t>
      </w:r>
      <w:r w:rsidDel="00000000" w:rsidR="00000000" w:rsidRPr="00000000">
        <w:rPr>
          <w:rtl w:val="0"/>
        </w:rPr>
        <w:t xml:space="preserve"> ) a una de recuperación selectiva (RAG). Para un rendimiento estable en modelos como Qwen2.5-7B, los profesionales deben mantener los contextos por debajo del 40% de la capacidad máxima (aprox. 51,200 tokens en modelos de 128k).</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