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72"/>
          <w:szCs w:val="72"/>
        </w:rPr>
        <w:t xml:space="preserve">LukeAPP v4</w:t>
      </w:r>
    </w:p>
    <w:p>
      <w:pPr>
        <w:spacing w:after="200"/>
        <w:jc w:val="center"/>
      </w:pPr>
      <w:r>
        <w:rPr>
          <w:color w:val="595959"/>
          <w:sz w:val="44"/>
          <w:szCs w:val="44"/>
        </w:rPr>
        <w:t xml:space="preserve">Arquitectura Multi-Proyecto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De la solución mono-proyecto EIMI00413 (Andina – CODELCO) a la plataforma estándar EIMISA para todos los contratos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Documento de Arquitectura – Julio 2026 – Rev. A (borrador para revisión)</w:t>
      </w:r>
    </w:p>
    <w:p/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t xml:space="preserve">1. Resumen ejecutivo</w:t>
      </w:r>
    </w:p>
    <w:p>
      <w:pPr>
        <w:spacing w:after="120"/>
      </w:pPr>
      <w:r>
        <w:t xml:space="preserve">LukeAPP opera hoy como una solución mono-proyecto: una app low-code (AppSheet) sobre ~30 tablas Excel alojadas en SharePoint, construida a medida para el contrato EIMI00413 (Espesador de Concentrado Colectivo PMFC, CODELCO Andina). El piloto validó el flujo Spool → Fabricación → QA/QC → Despacho → Montaje con datos reales: 526 spools, 1.688 juntas, 3.092 ítems MTO y más de 800 evidencias fotográficas y documentales.</w:t>
      </w:r>
    </w:p>
    <w:p>
      <w:pPr>
        <w:spacing w:after="120"/>
      </w:pPr>
      <w:r>
        <w:t xml:space="preserve">Este documento define cómo pasar de ese modelo a una plataforma multi-proyecto reutilizable en los tres rubros que concentran los montajes industriales en Chile: minería, refinería y celulosa. Las decisiones estructurales son tres: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Requisito offline como decisión de plataforma. </w:t>
      </w:r>
      <w:r>
        <w:t xml:space="preserve">La dependencia de AppSheet existe solo mientras no tengamos módulos de terreno offline propios. La evaluación (sección 3) concluye que sí es factible desarrollarlos con motores de sincronización maduros (PowerSync/ElectricSQL/RxDB sobre SQLite local), lo que habilita una migración gradual sin apagar AppSheet de un día para otro.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 central con entidad PROYECTO. </w:t>
      </w:r>
      <w:r>
        <w:t xml:space="preserve">Todas las tablas operativas pasan a llevar ID_PROYECTO. Los catálogos son por proyecto (decisión adoptada), pero se crean desde plantillas semilla por industria para no partir de cero en cada contrato.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Perfiles por industria. </w:t>
      </w:r>
      <w:r>
        <w:t xml:space="preserve">Las diferencias minería/refinería/celulosa se absorben con configuración (catálogos semilla, flags tipo USA_PWHT, workflows activables), no con modelos de datos distintos. Un solo esquema, N proyectos.</w:t>
      </w:r>
    </w:p>
    <w:p>
      <w:pPr>
        <w:pStyle w:val="Heading1"/>
        <w:spacing w:after="160" w:before="320"/>
      </w:pPr>
      <w:r>
        <w:t xml:space="preserve">2. Diagnóstico del modelo actual (EIMI00413)</w:t>
      </w:r>
    </w:p>
    <w:p>
      <w:pPr>
        <w:pStyle w:val="Heading2"/>
        <w:spacing w:after="120" w:before="240"/>
      </w:pPr>
      <w:r>
        <w:t xml:space="preserve">2.1 Stack y organización</w:t>
      </w:r>
    </w:p>
    <w:p>
      <w:pPr>
        <w:spacing w:after="120"/>
      </w:pPr>
      <w:r>
        <w:t xml:space="preserve">Capa de aplicación: AppSheet (cuenta eimisa.lukeapp@gmail.com), web y móvil. Capa de datos: libros Excel Online en SharePoint (cuenta cluke@eimontajes.cl), organizados en una convención de seis dominios que ha demostrado ser clara y vale la pena conservar como nomenclatura lógica: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18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5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 en EIMI00413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Volumen aprox.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(catálogos)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catálogos: clases piping, NPS, fluidos, tipos de unión, esquemas de pintura, aislación, revestimiento, % NDE, tipos de prueba, soportes, personal, CWA/CWP/IWP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~100 filas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(maestros)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Líneas (108), Isométricos (217), Spools (526), Juntas (1.688), MTO (3.092), Válvulas (168), Soportes (534), Equipos, Tie-Ins, P&amp;ID, datos BIM (4.583 GUID), maestro mecánico (468)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~11.400 filas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(movimientos)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spools, materiales, revisiones de ISO y P&amp;ID, guías de despacho, SDI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~1.500 filas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 (registros de terreno)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Ejecución de juntas, inspección visual, dimensional, pintura, montaje de válvulas y soportes, juntas adicionales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~1.000 filas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 (relaciones N:M)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P&amp;ID–Línea, SDI–ISO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~130 filas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 / 0_UX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Eventos de revisión documental; usuarios (23), menú (38 vistas), permisos por rol (211 reglas), configuración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~280 filas</w:t>
            </w:r>
          </w:p>
        </w:tc>
      </w:tr>
    </w:tbl>
    <w:p>
      <w:pPr>
        <w:spacing w:after="120" w:before="120"/>
      </w:pPr>
      <w:r>
        <w:t xml:space="preserve">Las evidencias (fotos JPG/PNG y PDF de ISO/P&amp;ID) se guardan en subcarpetas Archivos/ junto a cada tabla, con nombres hash + tipo + timestamp generados por AppSheet.</w:t>
      </w:r>
    </w:p>
    <w:p>
      <w:pPr>
        <w:pStyle w:val="Heading2"/>
        <w:spacing w:after="120" w:before="240"/>
      </w:pPr>
      <w:r>
        <w:t xml:space="preserve">2.2 Fortalezas a conservar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entidades correcto y probado en terreno: la cadena Línea → ISO → Spool → Junta → Registros QA/QC refleja bien el negocio y se migra casi tal cual.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Gobernanza funcional ya definida: roles ADMIN / OT / QAQC / LOGÍSTICA / SUPERVISOR TERRENO con 211 reglas de permisos tabla-por-tabla.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 por usuario y fecha en cada registro (usuarioReporte, timestamps).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Convención de nombres consistente (PREFIJO_Entidad_MS) que facilita automatizar la migración.</w:t>
      </w:r>
    </w:p>
    <w:p>
      <w:pPr>
        <w:pStyle w:val="Heading2"/>
        <w:spacing w:after="120" w:before="240"/>
      </w:pPr>
      <w:r>
        <w:t xml:space="preserve">2.3 Limitaciones que impiden escalar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entidad Proyecto: </w:t>
      </w:r>
      <w:r>
        <w:t xml:space="preserve">replicar a otro contrato exige clonar carpeta, app, usuarios, permisos y catálogos completos. Cada clon diverge y no hay visión consolidada de la cartera.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 como base de datos: </w:t>
      </w:r>
      <w:r>
        <w:t xml:space="preserve">sin integridad referencial ni tipos; IDs manuales; ya hay síntomas (hoja duplicada 'REG_EjecucionJuntas_MS (2)', columnas residuales Column29–33, encabezados con espacios finales). El volumen actual ya bordea los límites cómodos de AppSheet+Excel.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 </w:t>
      </w:r>
      <w:r>
        <w:t xml:space="preserve">contraseñas en texto plano en LIST_usuariosApp_MS; cuenta Google personal como dueña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 duplicada: </w:t>
      </w:r>
      <w:r>
        <w:t xml:space="preserve">el personal y los usuarios se definen por proyecto aunque las personas rotan entre contratos.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Analítica limitada: </w:t>
      </w:r>
      <w:r>
        <w:t xml:space="preserve">los Query-*.xlsx de exportación son manuales; Power BI debe conectarse libro por libro.</w:t>
      </w:r>
    </w:p>
    <w:p>
      <w:pPr>
        <w:pStyle w:val="Heading1"/>
        <w:spacing w:after="160" w:before="320"/>
      </w:pPr>
      <w:r>
        <w:t xml:space="preserve">3. Evaluación crítica: módulos de terreno offline</w:t>
      </w:r>
    </w:p>
    <w:p>
      <w:pPr>
        <w:spacing w:after="120"/>
      </w:pPr>
      <w:r>
        <w:t xml:space="preserve">Condición planteada: antes de decidir plataforma hay que evaluar si podemos desarrollar módulos de terreno offline propios; sin ellos, dependemos de AppSheet. Esta sección responde esa pregunta.</w:t>
      </w:r>
    </w:p>
    <w:p>
      <w:pPr>
        <w:pStyle w:val="Heading2"/>
        <w:spacing w:after="120" w:before="240"/>
      </w:pPr>
      <w:r>
        <w:t xml:space="preserve">3.1 Realidad de conectividad en faena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Minería (ej. Andina): áreas de planta con WiFi industrial intermitente, sectores rajo/subterráneo sin cobertura; bloqueadores de señal en algunas áreas CODELCO.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Refinería: zonas Ex/ATEX con restricción de equipos; conectividad buena en patios, nula dentro de unidades durante paradas de planta.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Celulosa: plantas remotas (Arauco, Constitución, Valdivia) con cobertura celular débil en naves; el montaje en paradas exige registro rápido sin depender de señal.</w:t>
      </w:r>
    </w:p>
    <w:p>
      <w:pPr>
        <w:spacing w:after="120"/>
      </w:pPr>
      <w:r>
        <w:t xml:space="preserve">Conclusión operativa: el registro de terreno (juntas, inspecciones, fotos) debe funcionar 100% sin señal y sincronizar después. Es requisito duro, no deseable.</w:t>
      </w:r>
    </w:p>
    <w:p>
      <w:pPr>
        <w:pStyle w:val="Heading2"/>
        <w:spacing w:after="120" w:before="240"/>
      </w:pPr>
      <w:r>
        <w:t xml:space="preserve">3.2 Qué ofrece AppSheet offline (estado actual)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Copia local de los datos de la app y cola de cambios que sincroniza al recuperar señal: funciona para formularios simples.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~5–10 MB comprimidos por app para el dataset descargado: con 11.400+ filas y crecimiento multi-proyecto, se agota rápido.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lento con Excel como origen (evaluación de fórmulas, libro completo); las fotos no se previsualizan offline; sin resolución de conflictos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 de plataforma: dependencia de decisiones de Google (precios, límites) sin control sobre el roadmap.</w:t>
      </w:r>
    </w:p>
    <w:p>
      <w:pPr>
        <w:pStyle w:val="Heading2"/>
        <w:spacing w:after="120" w:before="240"/>
      </w:pPr>
      <w:r>
        <w:t xml:space="preserve">3.3 Alternativa: módulos offline propios (offline-first)</w:t>
      </w:r>
    </w:p>
    <w:p>
      <w:pPr>
        <w:spacing w:after="120"/>
      </w:pPr>
      <w:r>
        <w:t xml:space="preserve">El patrón estándar 2026 para apps de terreno es 'offline-first': base local SQLite/IndexedDB en el dispositivo + motor de sincronización bidireccional contra Postgres. Es un problema resuelto por productos maduros; no habría que inventar el sync: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funciona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Encaje LukeAPP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PowerSync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SQLite local en el cliente; 'sync rules/streams' declarativas por usuario/proyecto contra Postgres (integración oficial con Supabase). Cola de escrituras offline con reintento.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mejor encaje: filtrar por ID_PROYECTO y rol es exactamente su modelo. SDKs web, Flutter y React Native.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ElectricSQL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Replicación parcial de Postgres a cliente (PGlite/SQLite); enfoque read-path muy sólido, escrituras vía API propia.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Alternativa viable; algo más de trabajo en el write-path.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RxDB / WatermelonDB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BD local JS con replicación configurable contra cualquier backend.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Máxima flexibilidad, más código propio de sync que mantener.</w:t>
            </w:r>
          </w:p>
        </w:tc>
      </w:tr>
    </w:tbl>
    <w:p>
      <w:pPr>
        <w:spacing w:after="120" w:before="120"/>
      </w:pPr>
      <w:r>
        <w:t xml:space="preserve">Nota de alcance: LukeAPP no necesita edición colaborativa simultánea (CRDTs); necesita escrituras encoladas que sincronizan — el caso simple y bien soportado. Los registros de terreno son inserciones (nueva ejecución de junta, nueva inspección) con conflictos casi inexistentes por diseño: cada cuadrilla reporta sus propias juntas.</w:t>
      </w:r>
    </w:p>
    <w:p>
      <w:pPr>
        <w:pStyle w:val="Heading2"/>
        <w:spacing w:after="120" w:before="240"/>
      </w:pPr>
      <w:r>
        <w:t xml:space="preserve">3.4 Comparativa y veredicto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Seguir en AppSheet + Excel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 propio offline-first (PWA/móvil + Supabase)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Limitado (5–10 MB, sin control de conflictos)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Completo: SQLite local, cola de escrituras, fotos en cola de subida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Multi-proyecto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 app clonada por proyecto o dataset gigante compartido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Nativo: sync filtrado por proyecto y rol del usuario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Integridad de datos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FK ni tipos; errores silenciosos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PostgreSQL: FK, tipos, RLS por proyecto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Costo desarrollo inicial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Bajo (ya existe)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Medio: 1 módulo de terreno acotado (juntas + inspección + fotos) como primer entregable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Costo mantención a 3 años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Alto: N clones divergentes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Bajo: un producto, N proyectos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Dependencia externa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(Google AppSheet)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Baja: componentes open-source/self-hosteables</w:t>
            </w:r>
          </w:p>
        </w:tc>
      </w:tr>
    </w:tbl>
    <w:p>
      <w:pPr>
        <w:spacing w:after="120"/>
      </w:pPr>
      <w:r>
        <w:rPr>
          <w:b/>
          <w:bCs/>
        </w:rPr>
        <w:t xml:space="preserve">Veredicto: </w:t>
      </w:r>
      <w:r>
        <w:t xml:space="preserve">sí es posible desarrollar módulos de terreno offline propios con esfuerzo acotado y riesgo técnico bajo, porque el sync ya no es el problema difícil. Por lo tanto la dependencia de AppSheet es transitoria, no estructural. Recomendación: estrategia híbrida gradual — mover primero los datos a una base central (Supabase/Postgres), mantener AppSheet leyendo/escribiendo contra ella durante la transición, y desarrollar el primer módulo offline propio (registro de juntas + inspección visual + evidencias) como piloto en el siguiente proyecto.</w:t>
      </w:r>
    </w:p>
    <w:p>
      <w:pPr>
        <w:pStyle w:val="Heading1"/>
        <w:spacing w:after="160" w:before="320"/>
      </w:pPr>
      <w:r>
        <w:t xml:space="preserve">4. Arquitectura objetivo</w:t>
      </w:r>
    </w:p>
    <w:p>
      <w:pPr>
        <w:spacing w:after="120"/>
      </w:pPr>
      <w:r>
        <w:t xml:space="preserve">Capas de la plataforma multi-proyecto: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datos: </w:t>
      </w:r>
      <w:r>
        <w:t xml:space="preserve">PostgreSQL (Supabase) como única fuente de verdad. Row Level Security por ID_PROYECTO y rol: un usuario solo ve los proyectos donde tiene membresía. Supabase Storage para evidencias, con ruta {proyecto}/{dominio}/{entidad}/{archivo} replicando la convención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sincronización: </w:t>
      </w:r>
      <w:r>
        <w:t xml:space="preserve">PowerSync entre Postgres y los dispositivos de terreno; reglas de sync por proyecto asignado (cada dispositivo descarga solo su proyecto activo, resolviendo de raíz el límite de tamaño de AppSheet).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aplicación: </w:t>
      </w:r>
      <w:r>
        <w:t xml:space="preserve">(a) Módulo terreno offline-first (PWA instalable o app Flutter) para REG_* y LOG_*; (b) Módulo oficina técnica web online (LIST_*, CAT_*, DOC_*, revisiones, spooling); (c) durante la transición, AppSheet conectado a Postgres como front provisional.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analítica: </w:t>
      </w:r>
      <w:r>
        <w:t xml:space="preserve">Power BI conectado directo a Postgres (reemplaza los Query-*.xlsx manuales); dashboards consolidados de cartera y por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Identidad: </w:t>
      </w:r>
      <w:r>
        <w:t xml:space="preserve">autenticación central (Supabase Auth con email corporativo); se elimina la tabla de contraseñas en texto plano. El personal técnico (soldadores, estampas) es un catálogo corporativo de personas, con asignación por proyecto.</w:t>
      </w:r>
    </w:p>
    <w:p>
      <w:pPr>
        <w:spacing w:after="120"/>
      </w:pPr>
      <w:r>
        <w:t xml:space="preserve">Principio rector: un solo esquema de datos y un solo código de aplicación; lo que varía entre proyectos es configuración (catálogos, flags, workflows activos), nunca estructura.</w:t>
      </w:r>
    </w:p>
    <w:p>
      <w:pPr>
        <w:pStyle w:val="Heading1"/>
        <w:spacing w:after="160" w:before="320"/>
      </w:pPr>
      <w:r>
        <w:t xml:space="preserve">5. Estructura de datos multi-proyecto</w:t>
      </w:r>
    </w:p>
    <w:p>
      <w:pPr>
        <w:pStyle w:val="Heading2"/>
        <w:spacing w:after="120" w:before="240"/>
      </w:pPr>
      <w:r>
        <w:t xml:space="preserve">5.1 Núcleo transversal (nuevo)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Mandantes y contratistas (CODELCO, ENAP, Arauco, EIMISA…)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nombre, rut, tipo (mandante/contratista)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PROYECTOS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registro por contrato. Sustituye la carpeta clonada.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codigo (EIMI00413), nombre, mandante_id, contrato, industria (mineria/refineria/celulosa), fecha_inicio, estado, config JSONB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PROYECTO_CONFIG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Flags que hoy viven en CONFIG_APP_MS, por proyecto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proyecto_id, usa_pwht, clases_con_pwht, usa_sublineas, usa_awp, usa_test_pack, …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Identidad única corporativa (hoy duplicada por proyecto)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email, nombre, telefono, telegram_id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MEMBRESIAS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 de cada usuario en cada proyecto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usuario_id, proyecto_id, rol (ADMIN/OT/QAQC/LOGISTICA/SUPERVISOR), activo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PERMISOS_ROL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 211 reglas actuales, definidas una vez como plantilla y ajustables por proyecto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proyecto_id, rol, tabla, puede_agregar/actualizar/eliminar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PLANTILLAS_CATALOGO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Semillas por industria para poblar catálogos de un proyecto nuevo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industria, dominio, tabla, payload JSONB</w:t>
            </w:r>
          </w:p>
        </w:tc>
      </w:tr>
    </w:tbl>
    <w:p>
      <w:pPr>
        <w:pStyle w:val="Heading2"/>
        <w:spacing w:after="120" w:before="240"/>
      </w:pPr>
      <w:r>
        <w:t xml:space="preserve">5.2 Dominios operativos: misma convención, ahora con ID_PROYECTO</w:t>
      </w:r>
    </w:p>
    <w:p>
      <w:pPr>
        <w:spacing w:after="120"/>
      </w:pPr>
      <w:r>
        <w:t xml:space="preserve">Se conservan los seis dominios y sus entidades, con tres cambios sistemáticos: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tabla CAT/LIST/LOG/REG/REL/DOC agrega proyecto_id (FK a PROYECTOS) como primera columna de su clave; los IDs de negocio (ID_LINEA, ID_ISO, ID_SPOOL, ID_JUNTA) pasan a ser únicos por proyecto, no globales, manteniendo la nomenclatura que la gente ya usa en terreno.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catálogos son por proyecto (decisión adoptada): CAT_ClasePiping, CAT_TipoUnion, CAT_EsquemaPintura, CAT_Personal, CAT_CWA/CWP/IWP, etc. se instancian al crear el proyecto copiando la plantilla de su industria, y luego el ADMIN del proyecto los edita libremente sin afectar a otros contratos.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Claves foráneas reales: Junta → Spool → ISO → Línea → Proyecto; Registro QA/QC → Junta ejecutada; evidencia → registro. Lo que hoy es disciplina de nombres pasa a estar garantizado por la base.</w:t>
      </w:r>
    </w:p>
    <w:p>
      <w:pPr>
        <w:pStyle w:val="Heading2"/>
        <w:spacing w:after="120" w:before="240"/>
      </w:pPr>
      <w:r>
        <w:t xml:space="preserve">5.3 Disciplinas como módulos</w:t>
      </w:r>
    </w:p>
    <w:p>
      <w:pPr>
        <w:spacing w:after="120"/>
      </w:pPr>
      <w:r>
        <w:t xml:space="preserve">Piping es la disciplina completa; Mecánica ya existe en embrión (LIST_Mec, ESP_ELEM). El esquema las modela como módulos activables por proyecto: cada disciplina aporta sus tablas LIST/REG propias pero comparte núcleo, personal, permisos, evidencias y avance. Esto deja la puerta abierta a Estructuras y Electricidad e Instrumentación (E&amp;I) sin rediseñar.</w:t>
      </w:r>
    </w:p>
    <w:p>
      <w:pPr>
        <w:pStyle w:val="Heading2"/>
        <w:spacing w:after="120" w:before="240"/>
      </w:pPr>
      <w:r>
        <w:t xml:space="preserve">5.4 Evidencias y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central con metadatos en tabla EVIDENCIAS (proyecto_id, entidad, registro_id, tipo [FOTO/PDF_ISO/PDF_PID/…], hash, url, usuario, timestamp): hoy esa información vive solo en el nombre del archivo.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documental actual (LOG_Iso, LOG_PID, DOC_RevisionEvents con revisiones vigentes e históricas) se conserva tal cual, agregando proyecto_id.</w:t>
      </w:r>
    </w:p>
    <w:p>
      <w:pPr>
        <w:pStyle w:val="Heading1"/>
        <w:spacing w:after="160" w:before="320"/>
      </w:pPr>
      <w:r>
        <w:t xml:space="preserve">6. Perfiles por industria: minería, refinería, celulosa</w:t>
      </w:r>
    </w:p>
    <w:p>
      <w:pPr>
        <w:spacing w:after="120"/>
      </w:pPr>
      <w:r>
        <w:t xml:space="preserve">Los tres rubros ejecutan el mismo proceso base (ingeniería → prefabricación → QA/QC → logística → montaje), pero difieren en catálogos, exigencias QA/QC y estructura de desglose. El modelo los absorbe vía plantillas de catálogo + flags de configuración + workflows activables: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400"/>
        <w:gridCol w:w="24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Minería (CODELCO, BHP, AMSA)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Refinería (ENAP)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Celulosa (Arauco, CMPC)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Desglose de trabajo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AWP formal: CWA → CWP → IWP (ya modelado en v1)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unidad de proceso y parada (turnaround); prioridad por ventana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área de planta y parada anual; ritmo de parada corto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Materiales típicos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Acero carbono, HDPE, revestimiento goma/cerámico, alta abrasión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Aleados Cr-Mo, alta presión/temperatura, servicios H2/HC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Inoxidables 304/316, dúplex, ambientes químicos (licor, ClO2)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QA/QC crítico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NDE por clase, pintura/RAL, prueba hidrostática, test pack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PWHT obligatorio en clases aleadas, NDE alto (RT/UT), hot-work permits, PMI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PMI de inoxidables, pasivación, boroscopía, soldadura sanitaria en algunos servicios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Normas de referencia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ASME B31.3, estándares del mandante (NCC CODELCO)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ASME B31.3/B31.1, API, NACE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ASME B31.3, TAPPI, especificaciones del mandante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SDI/DAND (ya modelado), libro de obra digital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 por test pack y por unidad; trazabilidad de colada estricta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 por área; fuerte control de materiales por colada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 del proyecto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usa_awp=sí; usa_pwht=raro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usa_pwht=sí (existe el flag desde v1); permisos hot-work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usa_pmi=sí; catálogos de clase inox/dúplex</w:t>
            </w:r>
          </w:p>
        </w:tc>
      </w:tr>
    </w:tbl>
    <w:p>
      <w:pPr>
        <w:spacing w:after="80" w:before="160"/>
      </w:pPr>
      <w:r>
        <w:t xml:space="preserve">Implicancias de diseño concretas: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Tres juegos de PLANTILLAS_CATALOGO (clases, tipos de unión, esquemas de pintura, % NDE, tipos de prueba) mantenidos por la oficina técnica corporativa; crear un proyecto nuevo toma minutos, no semanas.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jerarquía CWA/CWP/IWP se mantiene en el esquema pero es opcional (usa_awp): en refinería y celulosa esos campos se reemplazan por unidad/área y parada.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QA/QC condicionales ya insinuados en v1 (USA_PWHT en CONFIG_APP_MS) se generalizan: PWHT, PMI, pasivación y hot-work son etapas del workflow de junta que el perfil de industria activa o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 de colada (heat number) se agrega al MTO como campo estándar: es opcional en minería pero obligatorio en refinería y celulosa.</w:t>
      </w:r>
    </w:p>
    <w:p>
      <w:pPr>
        <w:pStyle w:val="Heading1"/>
        <w:spacing w:after="160" w:before="320"/>
      </w:pPr>
      <w:r>
        <w:t xml:space="preserve">7. Plan de migración y despliegue</w:t>
      </w:r>
    </w:p>
    <w:p>
      <w:pPr>
        <w:pStyle w:val="Heading2"/>
        <w:spacing w:after="120" w:before="240"/>
      </w:pPr>
      <w:r>
        <w:t xml:space="preserve">Fase 0 – Fundación (2–4 semanas)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esquema Postgres/Supabase con núcleo (sección 5.1) y dominios de Piping; definir RLS por proyecto y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de migración EIMI00413: leer los libros Excel actuales, sanear (hojas duplicadas, columnas residuales, espacios en encabezados) y cargar como primer proyecto. Los archivos de evidencia se suben a Storage conservando su vínculo.</w:t>
      </w:r>
    </w:p>
    <w:p>
      <w:pPr>
        <w:pStyle w:val="Heading2"/>
        <w:spacing w:after="120" w:before="240"/>
      </w:pPr>
      <w:r>
        <w:t xml:space="preserve">Fase 1 – Coexistencia (durante el 413)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AppSheet se reconecta a la base central (o se mantiene en Excel con sincronización programada hacia Postgres) — el terreno no nota el cambio.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pasa a leer de Postgres; primer dashboard consolidado de cartera.</w:t>
      </w:r>
    </w:p>
    <w:p>
      <w:pPr>
        <w:pStyle w:val="Heading2"/>
        <w:spacing w:after="120" w:before="240"/>
      </w:pPr>
      <w:r>
        <w:t xml:space="preserve">Fase 2 – Módulo terreno offline propio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el módulo mínimo offline-first (PowerSync): registro de ejecución de juntas, inspección visual y evidencias fotográficas. Piloto en paralelo con AppSheet en el mismo proyecto para validar.</w:t>
      </w:r>
    </w:p>
    <w:p>
      <w:pPr>
        <w:pStyle w:val="Heading2"/>
        <w:spacing w:after="120" w:before="240"/>
      </w:pPr>
      <w:r>
        <w:t xml:space="preserve">Fase 3 – Proyecto nuevo 100% en v4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siguiente contrato se crea desde plantilla (industria + catálogos semilla + roles) y opera completo en la plataforma; AppSheet queda solo como respaldo hasta retirarse.</w:t>
      </w:r>
    </w:p>
    <w:p>
      <w:pPr>
        <w:pStyle w:val="Heading2"/>
        <w:spacing w:after="120" w:before="240"/>
      </w:pPr>
      <w:r>
        <w:t xml:space="preserve">Criterios de éxito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 proyecto nuevo operativo en menos de 1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terreno funcionando sin señal y sincronizando sin pérdida.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consolidado multi-contrato sin exportaciones manuales.</w:t>
      </w:r>
    </w:p>
    <w:p>
      <w:pPr>
        <w:pStyle w:val="Heading1"/>
        <w:spacing w:after="160" w:before="320"/>
      </w:pPr>
      <w:r>
        <w:t xml:space="preserve">8. Riesgos y decisiones pendientes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 / decisión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 / próxima acción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Adopción en terreno de un front nuevo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2 corre en paralelo con AppSheet; se migra cuadrilla por cuadrilla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Calidad de datos históricos del 413 (IDs manuales, duplicados)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script de migración reporta inconsistencias antes de cargar; se corrigen una sola vez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Costo de Supabase/PowerSync vs. licencias AppSheet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Dimensionar con volúmenes reales del 413 antes de Fase 2 (ambos tienen tramos gratuitos/planes por uso)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PWA vs. app nativa (Flutter) para el módulo terreno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Decidir en Fase 2 según dispositivos de las cuadrillas (Android corporativo → Flutter simplifica cámara/almacenamiento; navegador moderno → PWA basta)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Cuenta de servicio institucional (hoy Gmail personal)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Formalizar identidad corporativa antes de Fase 1, como ya recomienda el README del 413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Gobernanza de plantillas de catálogo por industria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Designar dueño en oficina técnica corporativa; versionar las plantillas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2026-07-13T14:35:15.668Z</dcterms:created>
  <dcterms:modified xsi:type="dcterms:W3CDTF">2026-07-13T14:35:15.668Z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