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b/>
          <w:color w:val="1F4E79"/>
          <w:sz w:val="52"/>
        </w:rPr>
        <w:t>Förvaltnings- och driftsavtal</w:t>
      </w:r>
    </w:p>
    <w:p>
      <w:r>
        <w:rPr>
          <w:color w:val="2E75B6"/>
          <w:sz w:val="36"/>
        </w:rPr>
        <w:t>Curago AI-utbildning</w:t>
      </w:r>
    </w:p>
    <w:p>
      <w:pPr>
        <w:pBdr>
          <w:bottom w:val="single" w:sz="6" w:space="1" w:color="1F4E79"/>
        </w:pBdr>
      </w:pPr>
    </w:p>
    <w:p>
      <w:pPr>
        <w:spacing w:before="160"/>
      </w:pPr>
    </w:p>
    <w:p>
      <w:pPr>
        <w:spacing w:after="40"/>
      </w:pPr>
      <w:r>
        <w:rPr>
          <w:b/>
          <w:color w:val="595959"/>
        </w:rPr>
        <w:t xml:space="preserve">Till: </w:t>
      </w:r>
      <w:r>
        <w:t>VD, Curago AB</w:t>
      </w:r>
    </w:p>
    <w:p>
      <w:pPr>
        <w:spacing w:after="40"/>
      </w:pPr>
      <w:r>
        <w:rPr>
          <w:b/>
          <w:color w:val="595959"/>
        </w:rPr>
        <w:t xml:space="preserve">Från: </w:t>
      </w:r>
      <w:r>
        <w:t>Criterio Consulting AB</w:t>
      </w:r>
    </w:p>
    <w:p>
      <w:pPr>
        <w:spacing w:after="40"/>
      </w:pPr>
      <w:r>
        <w:rPr>
          <w:b/>
          <w:color w:val="595959"/>
        </w:rPr>
        <w:t xml:space="preserve">Datum: </w:t>
      </w:r>
      <w:r>
        <w:t>7 april 2026</w:t>
      </w:r>
    </w:p>
    <w:p>
      <w:pPr>
        <w:spacing w:after="40"/>
      </w:pPr>
      <w:r>
        <w:rPr>
          <w:b/>
          <w:color w:val="595959"/>
        </w:rPr>
        <w:t xml:space="preserve">Ärende: </w:t>
      </w:r>
      <w:r>
        <w:t>Förslag på helhetsåtagande för drift, förvaltning och vidareutveckling av Curagos interna AI-utbildningsplattform</w:t>
      </w:r>
    </w:p>
    <w:p>
      <w:pPr>
        <w:spacing w:before="280" w:after="80"/>
      </w:pPr>
      <w:r>
        <w:rPr>
          <w:b/>
          <w:color w:val="1F4E79"/>
          <w:sz w:val="28"/>
        </w:rPr>
        <w:t>1. Bakgrund</w:t>
      </w:r>
    </w:p>
    <w:p>
      <w:r>
        <w:rPr>
          <w:b w:val="0"/>
          <w:i w:val="0"/>
          <w:sz w:val="22"/>
        </w:rPr>
        <w:t>Curago har idag en internt utvecklad AI-utbildningsplattform som används av era konsulter för kompetensutveckling inom AI. Lösningen är byggd som en modern webbapplikation med markdown-baserat innehåll, progress-tracking, quiz och stöd för både ljust och mörkt tema.</w:t>
      </w:r>
    </w:p>
    <w:p>
      <w:r>
        <w:rPr>
          <w:b w:val="0"/>
          <w:i w:val="0"/>
          <w:sz w:val="22"/>
        </w:rPr>
        <w:t>Plattformen drivs i nuläget på personliga gratiskonton hos en extern utvecklare. Detta är inte hållbart över tid: gratisplanerna saknar SLA, Curago äger inte sina egna konton, och tjänsteleverantörernas användarvillkor tillåter inte kommersiell drift på dessa nivåer.</w:t>
      </w:r>
    </w:p>
    <w:p>
      <w:r>
        <w:rPr>
          <w:b w:val="0"/>
          <w:i w:val="0"/>
          <w:sz w:val="22"/>
        </w:rPr>
        <w:t>Eftersom Curago inte har en egen IT-avdelning föreslår Criterio Consulting AB att axla rollen som dedikerad underleverantör för hela teknikplattformen — Curago slipper hantera leverantörer, fakturor, säkerhet och teknisk drift, och får istället en enda kontaktpunkt och en förutsägbar månadskostnad.</w:t>
      </w:r>
    </w:p>
    <w:p>
      <w:pPr>
        <w:spacing w:before="280" w:after="80"/>
      </w:pPr>
      <w:r>
        <w:rPr>
          <w:b/>
          <w:color w:val="1F4E79"/>
          <w:sz w:val="28"/>
        </w:rPr>
        <w:t>2. Vad Criterio åtar sig</w:t>
      </w:r>
    </w:p>
    <w:p>
      <w:r>
        <w:rPr>
          <w:b w:val="0"/>
          <w:i w:val="0"/>
          <w:sz w:val="22"/>
        </w:rPr>
        <w:t>Criterio Consulting AB tar fullt ansvar för plattformen som managed service. Det innebär att vi:</w:t>
      </w:r>
    </w:p>
    <w:p>
      <w:pPr>
        <w:pStyle w:val="ListBullet"/>
      </w:pPr>
      <w:r>
        <w:t>Äger leverantörsrelationerna mot Supabase, Vercel, GitHub och domänregistratorn</w:t>
      </w:r>
    </w:p>
    <w:p>
      <w:pPr>
        <w:pStyle w:val="ListBullet"/>
      </w:pPr>
      <w:r>
        <w:t>Driver applikationen dygnet runt på betalda, kommersiellt godkända planer</w:t>
      </w:r>
    </w:p>
    <w:p>
      <w:pPr>
        <w:pStyle w:val="ListBullet"/>
      </w:pPr>
      <w:r>
        <w:t>Övervakar drift, säkerhet och prestanda</w:t>
      </w:r>
    </w:p>
    <w:p>
      <w:pPr>
        <w:pStyle w:val="ListBullet"/>
      </w:pPr>
      <w:r>
        <w:t>Uppdaterar kod, beroenden och säkerhetspatchar löpande</w:t>
      </w:r>
    </w:p>
    <w:p>
      <w:pPr>
        <w:pStyle w:val="ListBullet"/>
      </w:pPr>
      <w:r>
        <w:t>Hanterar inloggning, användare, backup och GDPR-relaterade frågor</w:t>
      </w:r>
    </w:p>
    <w:p>
      <w:pPr>
        <w:pStyle w:val="ListBullet"/>
      </w:pPr>
      <w:r>
        <w:t>Vidareutvecklar plattformen enligt era önskemål</w:t>
      </w:r>
    </w:p>
    <w:p>
      <w:pPr>
        <w:pStyle w:val="ListBullet"/>
      </w:pPr>
      <w:r>
        <w:t>Är er enda kontaktpunkt — ni mejlar oss, vi löser resten</w:t>
      </w:r>
    </w:p>
    <w:p>
      <w:r>
        <w:rPr>
          <w:b w:val="0"/>
          <w:i/>
          <w:color w:val="595959"/>
          <w:sz w:val="22"/>
        </w:rPr>
        <w:t>Curago behöver inte hantera Microsoft, Supabase, Vercel eller någon annan leverantör direkt.</w:t>
      </w:r>
    </w:p>
    <w:p>
      <w:pPr>
        <w:spacing w:before="280" w:after="80"/>
      </w:pPr>
      <w:r>
        <w:rPr>
          <w:b/>
          <w:color w:val="1F4E79"/>
          <w:sz w:val="28"/>
        </w:rPr>
        <w:t>3. Teknisk lösning</w:t>
      </w:r>
    </w:p>
    <w:p>
      <w:pPr>
        <w:spacing w:before="200" w:after="40"/>
      </w:pPr>
      <w:r>
        <w:rPr>
          <w:b/>
          <w:color w:val="2E75B6"/>
          <w:sz w:val="24"/>
        </w:rPr>
        <w:t>3.1 Plattformens komponenter</w:t>
      </w:r>
    </w:p>
    <w:tbl>
      <w:tblPr>
        <w:tblStyle w:val="LightGrid-Accent1"/>
        <w:tblW w:type="auto" w:w="0"/>
        <w:tblLayout w:type="autofit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2551"/>
            <w:shd w:val="clear" w:color="auto" w:fill="1F4E79"/>
          </w:tcPr>
          <w:p>
            <w:r/>
            <w:r>
              <w:rPr>
                <w:b/>
                <w:color w:val="FFFFFF"/>
                <w:sz w:val="22"/>
              </w:rPr>
              <w:t>Lager</w:t>
            </w:r>
          </w:p>
        </w:tc>
        <w:tc>
          <w:tcPr>
            <w:tcW w:type="dxa" w:w="3685"/>
            <w:shd w:val="clear" w:color="auto" w:fill="1F4E79"/>
          </w:tcPr>
          <w:p>
            <w:r/>
            <w:r>
              <w:rPr>
                <w:b/>
                <w:color w:val="FFFFFF"/>
                <w:sz w:val="22"/>
              </w:rPr>
              <w:t>Teknik</w:t>
            </w:r>
          </w:p>
        </w:tc>
        <w:tc>
          <w:tcPr>
            <w:tcW w:type="dxa" w:w="2835"/>
            <w:shd w:val="clear" w:color="auto" w:fill="1F4E79"/>
          </w:tcPr>
          <w:p>
            <w:r/>
            <w:r>
              <w:rPr>
                <w:b/>
                <w:color w:val="FFFFFF"/>
                <w:sz w:val="22"/>
              </w:rPr>
              <w:t>Leverantör</w:t>
            </w:r>
          </w:p>
        </w:tc>
      </w:tr>
      <w:tr>
        <w:tc>
          <w:tcPr>
            <w:tcW w:type="dxa" w:w="2551"/>
          </w:tcPr>
          <w:p>
            <w:r/>
            <w:r>
              <w:rPr>
                <w:sz w:val="20"/>
              </w:rPr>
              <w:t>Frontend &amp; hosting</w:t>
            </w:r>
          </w:p>
        </w:tc>
        <w:tc>
          <w:tcPr>
            <w:tcW w:type="dxa" w:w="3685"/>
          </w:tcPr>
          <w:p>
            <w:r/>
            <w:r>
              <w:rPr>
                <w:sz w:val="20"/>
              </w:rPr>
              <w:t>Next.js 14 (React, TypeScript)</w:t>
            </w:r>
          </w:p>
        </w:tc>
        <w:tc>
          <w:tcPr>
            <w:tcW w:type="dxa" w:w="2835"/>
          </w:tcPr>
          <w:p>
            <w:r/>
            <w:r>
              <w:rPr>
                <w:sz w:val="20"/>
              </w:rPr>
              <w:t>Vercel Pro</w:t>
            </w:r>
          </w:p>
        </w:tc>
      </w:tr>
      <w:tr>
        <w:tc>
          <w:tcPr>
            <w:tcW w:type="dxa" w:w="2551"/>
          </w:tcPr>
          <w:p>
            <w:r/>
            <w:r>
              <w:rPr>
                <w:sz w:val="20"/>
              </w:rPr>
              <w:t>Databas &amp; autentisering</w:t>
            </w:r>
          </w:p>
        </w:tc>
        <w:tc>
          <w:tcPr>
            <w:tcW w:type="dxa" w:w="3685"/>
          </w:tcPr>
          <w:p>
            <w:r/>
            <w:r>
              <w:rPr>
                <w:sz w:val="20"/>
              </w:rPr>
              <w:t>PostgreSQL + Auth</w:t>
            </w:r>
          </w:p>
        </w:tc>
        <w:tc>
          <w:tcPr>
            <w:tcW w:type="dxa" w:w="2835"/>
          </w:tcPr>
          <w:p>
            <w:r/>
            <w:r>
              <w:rPr>
                <w:sz w:val="20"/>
              </w:rPr>
              <w:t>Supabase Pro</w:t>
            </w:r>
          </w:p>
        </w:tc>
      </w:tr>
      <w:tr>
        <w:tc>
          <w:tcPr>
            <w:tcW w:type="dxa" w:w="2551"/>
          </w:tcPr>
          <w:p>
            <w:r/>
            <w:r>
              <w:rPr>
                <w:sz w:val="20"/>
              </w:rPr>
              <w:t>Källkod &amp; versionering</w:t>
            </w:r>
          </w:p>
        </w:tc>
        <w:tc>
          <w:tcPr>
            <w:tcW w:type="dxa" w:w="3685"/>
          </w:tcPr>
          <w:p>
            <w:r/>
            <w:r>
              <w:rPr>
                <w:sz w:val="20"/>
              </w:rPr>
              <w:t>Git, automatisk deploy</w:t>
            </w:r>
          </w:p>
        </w:tc>
        <w:tc>
          <w:tcPr>
            <w:tcW w:type="dxa" w:w="2835"/>
          </w:tcPr>
          <w:p>
            <w:r/>
            <w:r>
              <w:rPr>
                <w:sz w:val="20"/>
              </w:rPr>
              <w:t>GitHub</w:t>
            </w:r>
          </w:p>
        </w:tc>
      </w:tr>
      <w:tr>
        <w:tc>
          <w:tcPr>
            <w:tcW w:type="dxa" w:w="2551"/>
          </w:tcPr>
          <w:p>
            <w:r/>
            <w:r>
              <w:rPr>
                <w:sz w:val="20"/>
              </w:rPr>
              <w:t>Domän</w:t>
            </w:r>
          </w:p>
        </w:tc>
        <w:tc>
          <w:tcPr>
            <w:tcW w:type="dxa" w:w="3685"/>
          </w:tcPr>
          <w:p>
            <w:r/>
            <w:r>
              <w:rPr>
                <w:sz w:val="20"/>
              </w:rPr>
              <w:t>utbildning.curago.se</w:t>
            </w:r>
          </w:p>
        </w:tc>
        <w:tc>
          <w:tcPr>
            <w:tcW w:type="dxa" w:w="2835"/>
          </w:tcPr>
          <w:p>
            <w:r/>
            <w:r>
              <w:rPr>
                <w:sz w:val="20"/>
              </w:rPr>
              <w:t>Loopia/Binero</w:t>
            </w:r>
          </w:p>
        </w:tc>
      </w:tr>
      <w:tr>
        <w:tc>
          <w:tcPr>
            <w:tcW w:type="dxa" w:w="2551"/>
          </w:tcPr>
          <w:p>
            <w:r/>
            <w:r>
              <w:rPr>
                <w:sz w:val="20"/>
              </w:rPr>
              <w:t>Inloggning</w:t>
            </w:r>
          </w:p>
        </w:tc>
        <w:tc>
          <w:tcPr>
            <w:tcW w:type="dxa" w:w="3685"/>
          </w:tcPr>
          <w:p>
            <w:r/>
            <w:r>
              <w:rPr>
                <w:sz w:val="20"/>
              </w:rPr>
              <w:t>Microsoft 365 (Entra ID) via OAuth</w:t>
            </w:r>
          </w:p>
        </w:tc>
        <w:tc>
          <w:tcPr>
            <w:tcW w:type="dxa" w:w="2835"/>
          </w:tcPr>
          <w:p>
            <w:r/>
            <w:r>
              <w:rPr>
                <w:sz w:val="20"/>
              </w:rPr>
              <w:t>Curagos befintliga M365</w:t>
            </w:r>
          </w:p>
        </w:tc>
      </w:tr>
    </w:tbl>
    <w:p/>
    <w:p>
      <w:pPr>
        <w:spacing w:before="200" w:after="40"/>
      </w:pPr>
      <w:r>
        <w:rPr>
          <w:b/>
          <w:color w:val="2E75B6"/>
          <w:sz w:val="24"/>
        </w:rPr>
        <w:t>3.2 Inloggning med Microsoft 365</w:t>
      </w:r>
    </w:p>
    <w:p>
      <w:r>
        <w:rPr>
          <w:b w:val="0"/>
          <w:i w:val="0"/>
          <w:sz w:val="22"/>
        </w:rPr>
        <w:t>Era konsulter loggar in med samma Microsoft-konto som de redan använder för Outlook och Teams. Tekniskt sker detta genom att vi registrerar en applikation i Curagos Microsoft Entra ID (ingår i M365) och kopplar den till Supabase via OAuth 2.0. Det innebär:</w:t>
      </w:r>
    </w:p>
    <w:p>
      <w:pPr>
        <w:pStyle w:val="ListBullet"/>
      </w:pPr>
      <w:r>
        <w:t>En enda inloggning — samma användarnamn och lösenord som övriga Curago-tjänster</w:t>
      </w:r>
    </w:p>
    <w:p>
      <w:pPr>
        <w:pStyle w:val="ListBullet"/>
      </w:pPr>
      <w:r>
        <w:t>Automatisk avstängning vid offboarding — när någon slutar och Curago tar bort deras M365-konto försvinner åtkomsten även till utbildningen</w:t>
      </w:r>
    </w:p>
    <w:p>
      <w:pPr>
        <w:pStyle w:val="ListBullet"/>
      </w:pPr>
      <w:r>
        <w:t>Inga extra lösenord att hantera eller glömma</w:t>
      </w:r>
    </w:p>
    <w:p>
      <w:pPr>
        <w:pStyle w:val="ListBullet"/>
      </w:pPr>
      <w:r>
        <w:t>2-faktor ärvs automatiskt från M365</w:t>
      </w:r>
    </w:p>
    <w:p>
      <w:r>
        <w:rPr>
          <w:b w:val="0"/>
          <w:i w:val="0"/>
          <w:sz w:val="22"/>
        </w:rPr>
        <w:t>Vi sköter hela uppsättningen i samråd med er M365-leverantör. Curago behöver bara ge oss tillfällig admin-åtkomst i Entra ID under installationen (cirka 30 minuter).</w:t>
      </w:r>
    </w:p>
    <w:p>
      <w:pPr>
        <w:spacing w:before="200" w:after="40"/>
      </w:pPr>
      <w:r>
        <w:rPr>
          <w:b/>
          <w:color w:val="2E75B6"/>
          <w:sz w:val="24"/>
        </w:rPr>
        <w:t>3.3 Säkerhet, backup och GDPR</w:t>
      </w:r>
    </w:p>
    <w:p>
      <w:pPr>
        <w:pStyle w:val="ListBullet"/>
      </w:pPr>
      <w:r>
        <w:t>Daglig automatisk backup av databasen (7 dagars retention via Supabase Pro)</w:t>
      </w:r>
    </w:p>
    <w:p>
      <w:pPr>
        <w:pStyle w:val="ListBullet"/>
      </w:pPr>
      <w:r>
        <w:t>Veckovis extern backup till säker lagring som Criterio förvaltar</w:t>
      </w:r>
    </w:p>
    <w:p>
      <w:pPr>
        <w:pStyle w:val="ListBullet"/>
      </w:pPr>
      <w:r>
        <w:t>TLS-kryptering end-to-end, inga okrypterade anslutningar</w:t>
      </w:r>
    </w:p>
    <w:p>
      <w:pPr>
        <w:pStyle w:val="ListBullet"/>
      </w:pPr>
      <w:r>
        <w:t>GDPR-efterlevnad: personuppgiftsbiträdesavtal (DPA) med samtliga underleverantörer. Criterio tecknar i sin tur DPA med Curago</w:t>
      </w:r>
    </w:p>
    <w:p>
      <w:pPr>
        <w:pStyle w:val="ListBullet"/>
      </w:pPr>
      <w:r>
        <w:t>Begränsad datamängd: endast e-postadress + quizresultat sparas per användare</w:t>
      </w:r>
    </w:p>
    <w:p>
      <w:pPr>
        <w:pStyle w:val="ListBullet"/>
      </w:pPr>
      <w:r>
        <w:t>Loggar och övervakning via Vercel och Supabase, granskas månadsvis</w:t>
      </w:r>
    </w:p>
    <w:p>
      <w:pPr>
        <w:spacing w:before="280" w:after="80"/>
      </w:pPr>
      <w:r>
        <w:rPr>
          <w:b/>
          <w:color w:val="1F4E79"/>
          <w:sz w:val="28"/>
        </w:rPr>
        <w:t>4. Ansvar och rollfördelning</w:t>
      </w:r>
    </w:p>
    <w:tbl>
      <w:tblPr>
        <w:tblStyle w:val="LightGrid-Accent1"/>
        <w:tblW w:type="auto" w:w="0"/>
        <w:tblLayout w:type="autofit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4535"/>
            <w:shd w:val="clear" w:color="auto" w:fill="1F4E79"/>
          </w:tcPr>
          <w:p>
            <w:r/>
            <w:r>
              <w:rPr>
                <w:b/>
                <w:color w:val="FFFFFF"/>
                <w:sz w:val="22"/>
              </w:rPr>
              <w:t>Område</w:t>
            </w:r>
          </w:p>
        </w:tc>
        <w:tc>
          <w:tcPr>
            <w:tcW w:type="dxa" w:w="2268"/>
            <w:shd w:val="clear" w:color="auto" w:fill="1F4E79"/>
          </w:tcPr>
          <w:p>
            <w:r/>
            <w:r>
              <w:rPr>
                <w:b/>
                <w:color w:val="FFFFFF"/>
                <w:sz w:val="22"/>
              </w:rPr>
              <w:t>Curago</w:t>
            </w:r>
          </w:p>
        </w:tc>
        <w:tc>
          <w:tcPr>
            <w:tcW w:type="dxa" w:w="2268"/>
            <w:shd w:val="clear" w:color="auto" w:fill="1F4E79"/>
          </w:tcPr>
          <w:p>
            <w:r/>
            <w:r>
              <w:rPr>
                <w:b/>
                <w:color w:val="FFFFFF"/>
                <w:sz w:val="22"/>
              </w:rPr>
              <w:t>Criterio</w:t>
            </w:r>
          </w:p>
        </w:tc>
      </w:tr>
      <w:tr>
        <w:tc>
          <w:tcPr>
            <w:tcW w:type="dxa" w:w="4535"/>
          </w:tcPr>
          <w:p>
            <w:r/>
            <w:r>
              <w:rPr>
                <w:sz w:val="20"/>
              </w:rPr>
              <w:t>Beslut om innehåll och pedagogik</w:t>
            </w:r>
          </w:p>
        </w:tc>
        <w:tc>
          <w:tcPr>
            <w:tcW w:type="dxa" w:w="2268"/>
          </w:tcPr>
          <w:p>
            <w:r/>
            <w:r>
              <w:rPr>
                <w:sz w:val="20"/>
              </w:rPr>
              <w:t>Ja</w:t>
            </w:r>
          </w:p>
        </w:tc>
        <w:tc>
          <w:tcPr>
            <w:tcW w:type="dxa" w:w="2268"/>
          </w:tcPr>
          <w:p>
            <w:r/>
            <w:r>
              <w:rPr>
                <w:sz w:val="20"/>
              </w:rPr>
              <w:t>—</w:t>
            </w:r>
          </w:p>
        </w:tc>
      </w:tr>
      <w:tr>
        <w:tc>
          <w:tcPr>
            <w:tcW w:type="dxa" w:w="4535"/>
          </w:tcPr>
          <w:p>
            <w:r/>
            <w:r>
              <w:rPr>
                <w:sz w:val="20"/>
              </w:rPr>
              <w:t>Beställning av nya moduler/funktioner</w:t>
            </w:r>
          </w:p>
        </w:tc>
        <w:tc>
          <w:tcPr>
            <w:tcW w:type="dxa" w:w="2268"/>
          </w:tcPr>
          <w:p>
            <w:r/>
            <w:r>
              <w:rPr>
                <w:sz w:val="20"/>
              </w:rPr>
              <w:t>Ja</w:t>
            </w:r>
          </w:p>
        </w:tc>
        <w:tc>
          <w:tcPr>
            <w:tcW w:type="dxa" w:w="2268"/>
          </w:tcPr>
          <w:p>
            <w:r/>
            <w:r>
              <w:rPr>
                <w:sz w:val="20"/>
              </w:rPr>
              <w:t>—</w:t>
            </w:r>
          </w:p>
        </w:tc>
      </w:tr>
      <w:tr>
        <w:tc>
          <w:tcPr>
            <w:tcW w:type="dxa" w:w="4535"/>
          </w:tcPr>
          <w:p>
            <w:r/>
            <w:r>
              <w:rPr>
                <w:sz w:val="20"/>
              </w:rPr>
              <w:t>Skriva och redigera modulinnehåll (markdown)</w:t>
            </w:r>
          </w:p>
        </w:tc>
        <w:tc>
          <w:tcPr>
            <w:tcW w:type="dxa" w:w="2268"/>
          </w:tcPr>
          <w:p>
            <w:r/>
            <w:r>
              <w:rPr>
                <w:sz w:val="20"/>
              </w:rPr>
              <w:t>Ja (kan delegeras)</w:t>
            </w:r>
          </w:p>
        </w:tc>
        <w:tc>
          <w:tcPr>
            <w:tcW w:type="dxa" w:w="2268"/>
          </w:tcPr>
          <w:p>
            <w:r/>
            <w:r>
              <w:rPr>
                <w:sz w:val="20"/>
              </w:rPr>
              <w:t>Ja (vid behov)</w:t>
            </w:r>
          </w:p>
        </w:tc>
      </w:tr>
      <w:tr>
        <w:tc>
          <w:tcPr>
            <w:tcW w:type="dxa" w:w="4535"/>
          </w:tcPr>
          <w:p>
            <w:r/>
            <w:r>
              <w:rPr>
                <w:sz w:val="20"/>
              </w:rPr>
              <w:t>Drift, hosting, backup</w:t>
            </w:r>
          </w:p>
        </w:tc>
        <w:tc>
          <w:tcPr>
            <w:tcW w:type="dxa" w:w="2268"/>
          </w:tcPr>
          <w:p>
            <w:r/>
            <w:r>
              <w:rPr>
                <w:sz w:val="20"/>
              </w:rPr>
              <w:t>—</w:t>
            </w:r>
          </w:p>
        </w:tc>
        <w:tc>
          <w:tcPr>
            <w:tcW w:type="dxa" w:w="2268"/>
          </w:tcPr>
          <w:p>
            <w:r/>
            <w:r>
              <w:rPr>
                <w:sz w:val="20"/>
              </w:rPr>
              <w:t>Ja</w:t>
            </w:r>
          </w:p>
        </w:tc>
      </w:tr>
      <w:tr>
        <w:tc>
          <w:tcPr>
            <w:tcW w:type="dxa" w:w="4535"/>
          </w:tcPr>
          <w:p>
            <w:r/>
            <w:r>
              <w:rPr>
                <w:sz w:val="20"/>
              </w:rPr>
              <w:t>Säkerhet och uppdateringar</w:t>
            </w:r>
          </w:p>
        </w:tc>
        <w:tc>
          <w:tcPr>
            <w:tcW w:type="dxa" w:w="2268"/>
          </w:tcPr>
          <w:p>
            <w:r/>
            <w:r>
              <w:rPr>
                <w:sz w:val="20"/>
              </w:rPr>
              <w:t>—</w:t>
            </w:r>
          </w:p>
        </w:tc>
        <w:tc>
          <w:tcPr>
            <w:tcW w:type="dxa" w:w="2268"/>
          </w:tcPr>
          <w:p>
            <w:r/>
            <w:r>
              <w:rPr>
                <w:sz w:val="20"/>
              </w:rPr>
              <w:t>Ja</w:t>
            </w:r>
          </w:p>
        </w:tc>
      </w:tr>
      <w:tr>
        <w:tc>
          <w:tcPr>
            <w:tcW w:type="dxa" w:w="4535"/>
          </w:tcPr>
          <w:p>
            <w:r/>
            <w:r>
              <w:rPr>
                <w:sz w:val="20"/>
              </w:rPr>
              <w:t>Inloggning och användarhantering</w:t>
            </w:r>
          </w:p>
        </w:tc>
        <w:tc>
          <w:tcPr>
            <w:tcW w:type="dxa" w:w="2268"/>
          </w:tcPr>
          <w:p>
            <w:r/>
            <w:r>
              <w:rPr>
                <w:sz w:val="20"/>
              </w:rPr>
              <w:t>—</w:t>
            </w:r>
          </w:p>
        </w:tc>
        <w:tc>
          <w:tcPr>
            <w:tcW w:type="dxa" w:w="2268"/>
          </w:tcPr>
          <w:p>
            <w:r/>
            <w:r>
              <w:rPr>
                <w:sz w:val="20"/>
              </w:rPr>
              <w:t>Ja</w:t>
            </w:r>
          </w:p>
        </w:tc>
      </w:tr>
      <w:tr>
        <w:tc>
          <w:tcPr>
            <w:tcW w:type="dxa" w:w="4535"/>
          </w:tcPr>
          <w:p>
            <w:r/>
            <w:r>
              <w:rPr>
                <w:sz w:val="20"/>
              </w:rPr>
              <w:t>Leverantörskontakter (Supabase, Vercel)</w:t>
            </w:r>
          </w:p>
        </w:tc>
        <w:tc>
          <w:tcPr>
            <w:tcW w:type="dxa" w:w="2268"/>
          </w:tcPr>
          <w:p>
            <w:r/>
            <w:r>
              <w:rPr>
                <w:sz w:val="20"/>
              </w:rPr>
              <w:t>—</w:t>
            </w:r>
          </w:p>
        </w:tc>
        <w:tc>
          <w:tcPr>
            <w:tcW w:type="dxa" w:w="2268"/>
          </w:tcPr>
          <w:p>
            <w:r/>
            <w:r>
              <w:rPr>
                <w:sz w:val="20"/>
              </w:rPr>
              <w:t>Ja</w:t>
            </w:r>
          </w:p>
        </w:tc>
      </w:tr>
      <w:tr>
        <w:tc>
          <w:tcPr>
            <w:tcW w:type="dxa" w:w="4535"/>
          </w:tcPr>
          <w:p>
            <w:r/>
            <w:r>
              <w:rPr>
                <w:sz w:val="20"/>
              </w:rPr>
              <w:t>Felavhjälpning och support</w:t>
            </w:r>
          </w:p>
        </w:tc>
        <w:tc>
          <w:tcPr>
            <w:tcW w:type="dxa" w:w="2268"/>
          </w:tcPr>
          <w:p>
            <w:r/>
            <w:r>
              <w:rPr>
                <w:sz w:val="20"/>
              </w:rPr>
              <w:t>—</w:t>
            </w:r>
          </w:p>
        </w:tc>
        <w:tc>
          <w:tcPr>
            <w:tcW w:type="dxa" w:w="2268"/>
          </w:tcPr>
          <w:p>
            <w:r/>
            <w:r>
              <w:rPr>
                <w:sz w:val="20"/>
              </w:rPr>
              <w:t>Ja</w:t>
            </w:r>
          </w:p>
        </w:tc>
      </w:tr>
      <w:tr>
        <w:tc>
          <w:tcPr>
            <w:tcW w:type="dxa" w:w="4535"/>
          </w:tcPr>
          <w:p>
            <w:r/>
            <w:r>
              <w:rPr>
                <w:sz w:val="20"/>
              </w:rPr>
              <w:t>Vidareutveckling (kod)</w:t>
            </w:r>
          </w:p>
        </w:tc>
        <w:tc>
          <w:tcPr>
            <w:tcW w:type="dxa" w:w="2268"/>
          </w:tcPr>
          <w:p>
            <w:r/>
            <w:r>
              <w:rPr>
                <w:sz w:val="20"/>
              </w:rPr>
              <w:t>—</w:t>
            </w:r>
          </w:p>
        </w:tc>
        <w:tc>
          <w:tcPr>
            <w:tcW w:type="dxa" w:w="2268"/>
          </w:tcPr>
          <w:p>
            <w:r/>
            <w:r>
              <w:rPr>
                <w:sz w:val="20"/>
              </w:rPr>
              <w:t>Ja</w:t>
            </w:r>
          </w:p>
        </w:tc>
      </w:tr>
      <w:tr>
        <w:tc>
          <w:tcPr>
            <w:tcW w:type="dxa" w:w="4535"/>
          </w:tcPr>
          <w:p>
            <w:r/>
            <w:r>
              <w:rPr>
                <w:sz w:val="20"/>
              </w:rPr>
              <w:t>Fakturering till Curago</w:t>
            </w:r>
          </w:p>
        </w:tc>
        <w:tc>
          <w:tcPr>
            <w:tcW w:type="dxa" w:w="2268"/>
          </w:tcPr>
          <w:p>
            <w:r/>
            <w:r>
              <w:rPr>
                <w:sz w:val="20"/>
              </w:rPr>
              <w:t>—</w:t>
            </w:r>
          </w:p>
        </w:tc>
        <w:tc>
          <w:tcPr>
            <w:tcW w:type="dxa" w:w="2268"/>
          </w:tcPr>
          <w:p>
            <w:r/>
            <w:r>
              <w:rPr>
                <w:sz w:val="20"/>
              </w:rPr>
              <w:t>Ja</w:t>
            </w:r>
          </w:p>
        </w:tc>
      </w:tr>
    </w:tbl>
    <w:p/>
    <w:p>
      <w:r>
        <w:rPr>
          <w:b/>
          <w:i w:val="0"/>
          <w:sz w:val="22"/>
        </w:rPr>
        <w:t>Curago har en kontaktpunkt hos Criterio och en faktura per månad.</w:t>
      </w:r>
    </w:p>
    <w:p>
      <w:pPr>
        <w:spacing w:before="280" w:after="80"/>
      </w:pPr>
      <w:r>
        <w:rPr>
          <w:b/>
          <w:color w:val="1F4E79"/>
          <w:sz w:val="28"/>
        </w:rPr>
        <w:t>5. Kostnader</w:t>
      </w:r>
    </w:p>
    <w:p>
      <w:pPr>
        <w:spacing w:before="200" w:after="40"/>
      </w:pPr>
      <w:r>
        <w:rPr>
          <w:b/>
          <w:color w:val="2E75B6"/>
          <w:sz w:val="24"/>
        </w:rPr>
        <w:t>5.1 Underliggande tjänster (vidarefaktureras till självkostnad)</w:t>
      </w:r>
    </w:p>
    <w:tbl>
      <w:tblPr>
        <w:tblStyle w:val="LightGrid-Accent1"/>
        <w:tblW w:type="auto" w:w="0"/>
        <w:tblLayout w:type="autofit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402"/>
            <w:shd w:val="clear" w:color="auto" w:fill="1F4E79"/>
          </w:tcPr>
          <w:p>
            <w:r/>
            <w:r>
              <w:rPr>
                <w:b/>
                <w:color w:val="FFFFFF"/>
                <w:sz w:val="22"/>
              </w:rPr>
              <w:t>Tjänst</w:t>
            </w:r>
          </w:p>
        </w:tc>
        <w:tc>
          <w:tcPr>
            <w:tcW w:type="dxa" w:w="2835"/>
            <w:shd w:val="clear" w:color="auto" w:fill="1F4E79"/>
          </w:tcPr>
          <w:p>
            <w:r/>
            <w:r>
              <w:rPr>
                <w:b/>
                <w:color w:val="FFFFFF"/>
                <w:sz w:val="22"/>
              </w:rPr>
              <w:t>Plan</w:t>
            </w:r>
          </w:p>
        </w:tc>
        <w:tc>
          <w:tcPr>
            <w:tcW w:type="dxa" w:w="2835"/>
            <w:shd w:val="clear" w:color="auto" w:fill="1F4E79"/>
          </w:tcPr>
          <w:p>
            <w:r/>
            <w:r>
              <w:rPr>
                <w:b/>
                <w:color w:val="FFFFFF"/>
                <w:sz w:val="22"/>
              </w:rPr>
              <w:t>Pris/mån</w:t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20"/>
              </w:rPr>
              <w:t>Supabase Pro</w:t>
            </w:r>
          </w:p>
        </w:tc>
        <w:tc>
          <w:tcPr>
            <w:tcW w:type="dxa" w:w="2835"/>
          </w:tcPr>
          <w:p>
            <w:r/>
            <w:r>
              <w:rPr>
                <w:sz w:val="20"/>
              </w:rPr>
              <w:t>Pro</w:t>
            </w:r>
          </w:p>
        </w:tc>
        <w:tc>
          <w:tcPr>
            <w:tcW w:type="dxa" w:w="2835"/>
          </w:tcPr>
          <w:p>
            <w:r/>
            <w:r>
              <w:rPr>
                <w:sz w:val="20"/>
              </w:rPr>
              <w:t>ca 270 kr</w:t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20"/>
              </w:rPr>
              <w:t>Vercel Pro</w:t>
            </w:r>
          </w:p>
        </w:tc>
        <w:tc>
          <w:tcPr>
            <w:tcW w:type="dxa" w:w="2835"/>
          </w:tcPr>
          <w:p>
            <w:r/>
            <w:r>
              <w:rPr>
                <w:sz w:val="20"/>
              </w:rPr>
              <w:t>Pro</w:t>
            </w:r>
          </w:p>
        </w:tc>
        <w:tc>
          <w:tcPr>
            <w:tcW w:type="dxa" w:w="2835"/>
          </w:tcPr>
          <w:p>
            <w:r/>
            <w:r>
              <w:rPr>
                <w:sz w:val="20"/>
              </w:rPr>
              <w:t>ca 220 kr</w:t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20"/>
              </w:rPr>
              <w:t>Domän .se</w:t>
            </w:r>
          </w:p>
        </w:tc>
        <w:tc>
          <w:tcPr>
            <w:tcW w:type="dxa" w:w="2835"/>
          </w:tcPr>
          <w:p>
            <w:r/>
            <w:r>
              <w:rPr>
                <w:sz w:val="20"/>
              </w:rPr>
              <w:t>—</w:t>
            </w:r>
          </w:p>
        </w:tc>
        <w:tc>
          <w:tcPr>
            <w:tcW w:type="dxa" w:w="2835"/>
          </w:tcPr>
          <w:p>
            <w:r/>
            <w:r>
              <w:rPr>
                <w:sz w:val="20"/>
              </w:rPr>
              <w:t>ca 10 kr</w:t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20"/>
              </w:rPr>
              <w:t>Summa drift</w:t>
            </w:r>
          </w:p>
        </w:tc>
        <w:tc>
          <w:tcPr>
            <w:tcW w:type="dxa" w:w="2835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2835"/>
          </w:tcPr>
          <w:p>
            <w:r/>
            <w:r>
              <w:rPr>
                <w:sz w:val="20"/>
              </w:rPr>
              <w:t>ca 500 kr/mån</w:t>
            </w:r>
          </w:p>
        </w:tc>
      </w:tr>
    </w:tbl>
    <w:p/>
    <w:p>
      <w:pPr>
        <w:spacing w:before="200" w:after="40"/>
      </w:pPr>
      <w:r>
        <w:rPr>
          <w:b/>
          <w:color w:val="2E75B6"/>
          <w:sz w:val="24"/>
        </w:rPr>
        <w:t>5.2 Förvaltningsavgift (Criterios arvode)</w:t>
      </w:r>
    </w:p>
    <w:p>
      <w:r>
        <w:rPr>
          <w:b w:val="0"/>
          <w:i w:val="0"/>
          <w:sz w:val="22"/>
        </w:rPr>
        <w:t>Vi föreslår en fast månadsavgift som täcker löpande förvaltning, övervakning, säkerhetsuppdateringar, mindre innehållsändringar och support:</w:t>
      </w:r>
    </w:p>
    <w:tbl>
      <w:tblPr>
        <w:tblStyle w:val="LightGrid-Accent1"/>
        <w:tblW w:type="auto" w:w="0"/>
        <w:tblLayout w:type="autofit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2268"/>
            <w:shd w:val="clear" w:color="auto" w:fill="1F4E79"/>
          </w:tcPr>
          <w:p>
            <w:r/>
            <w:r>
              <w:rPr>
                <w:b/>
                <w:color w:val="FFFFFF"/>
                <w:sz w:val="22"/>
              </w:rPr>
              <w:t>Paket</w:t>
            </w:r>
          </w:p>
        </w:tc>
        <w:tc>
          <w:tcPr>
            <w:tcW w:type="dxa" w:w="5102"/>
            <w:shd w:val="clear" w:color="auto" w:fill="1F4E79"/>
          </w:tcPr>
          <w:p>
            <w:r/>
            <w:r>
              <w:rPr>
                <w:b/>
                <w:color w:val="FFFFFF"/>
                <w:sz w:val="22"/>
              </w:rPr>
              <w:t>Innehåll</w:t>
            </w:r>
          </w:p>
        </w:tc>
        <w:tc>
          <w:tcPr>
            <w:tcW w:type="dxa" w:w="1701"/>
            <w:shd w:val="clear" w:color="auto" w:fill="1F4E79"/>
          </w:tcPr>
          <w:p>
            <w:r/>
            <w:r>
              <w:rPr>
                <w:b/>
                <w:color w:val="FFFFFF"/>
                <w:sz w:val="22"/>
              </w:rPr>
              <w:t>Pris/mån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20"/>
              </w:rPr>
              <w:t>Bas</w:t>
            </w:r>
          </w:p>
        </w:tc>
        <w:tc>
          <w:tcPr>
            <w:tcW w:type="dxa" w:w="5102"/>
          </w:tcPr>
          <w:p>
            <w:r/>
            <w:r>
              <w:rPr>
                <w:sz w:val="20"/>
              </w:rPr>
              <w:t>Drift, övervakning, säkerhetspatchar, backup, support inom 2 arbetsdagar, upp till 2 h innehållsändringar/månad</w:t>
            </w:r>
          </w:p>
        </w:tc>
        <w:tc>
          <w:tcPr>
            <w:tcW w:type="dxa" w:w="1701"/>
          </w:tcPr>
          <w:p>
            <w:r/>
            <w:r>
              <w:rPr>
                <w:sz w:val="20"/>
              </w:rPr>
              <w:t>3 500 kr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20"/>
              </w:rPr>
              <w:t>Standard (rekommenderas)</w:t>
            </w:r>
          </w:p>
        </w:tc>
        <w:tc>
          <w:tcPr>
            <w:tcW w:type="dxa" w:w="5102"/>
          </w:tcPr>
          <w:p>
            <w:r/>
            <w:r>
              <w:rPr>
                <w:sz w:val="20"/>
              </w:rPr>
              <w:t>Allt i Bas + support inom 1 arbetsdag, upp till 4 h ändringar/månad, kvartalsvis statusrapport</w:t>
            </w:r>
          </w:p>
        </w:tc>
        <w:tc>
          <w:tcPr>
            <w:tcW w:type="dxa" w:w="1701"/>
          </w:tcPr>
          <w:p>
            <w:r/>
            <w:r>
              <w:rPr>
                <w:sz w:val="20"/>
              </w:rPr>
              <w:t>5 500 kr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20"/>
              </w:rPr>
              <w:t>Premium</w:t>
            </w:r>
          </w:p>
        </w:tc>
        <w:tc>
          <w:tcPr>
            <w:tcW w:type="dxa" w:w="5102"/>
          </w:tcPr>
          <w:p>
            <w:r/>
            <w:r>
              <w:rPr>
                <w:sz w:val="20"/>
              </w:rPr>
              <w:t>Allt i Standard + support inom 4 timmar, upp till 8 h ändringar/månad, månatlig statusrapport, prioriterad utveckling</w:t>
            </w:r>
          </w:p>
        </w:tc>
        <w:tc>
          <w:tcPr>
            <w:tcW w:type="dxa" w:w="1701"/>
          </w:tcPr>
          <w:p>
            <w:r/>
            <w:r>
              <w:rPr>
                <w:sz w:val="20"/>
              </w:rPr>
              <w:t>9 500 kr</w:t>
            </w:r>
          </w:p>
        </w:tc>
      </w:tr>
    </w:tbl>
    <w:p/>
    <w:p>
      <w:r>
        <w:rPr>
          <w:b w:val="0"/>
          <w:i/>
          <w:color w:val="595959"/>
          <w:sz w:val="22"/>
        </w:rPr>
        <w:t>Drift och förvaltning faktureras som en enda månadssumma för enkelhetens skull.</w:t>
      </w:r>
    </w:p>
    <w:p>
      <w:pPr>
        <w:spacing w:before="200" w:after="40"/>
      </w:pPr>
      <w:r>
        <w:rPr>
          <w:b/>
          <w:color w:val="2E75B6"/>
          <w:sz w:val="24"/>
        </w:rPr>
        <w:t>5.3 Vidareutveckling (utöver paketet)</w:t>
      </w:r>
    </w:p>
    <w:p>
      <w:r>
        <w:rPr>
          <w:b w:val="0"/>
          <w:i w:val="0"/>
          <w:sz w:val="22"/>
        </w:rPr>
        <w:t>Större förändringar — nya moduler, designändringar, integrationer, nya funktioner — beställs separat och debiteras enligt timpris 1 250 kr/h med fast offert per uppdrag.</w:t>
      </w:r>
    </w:p>
    <w:p>
      <w:pPr>
        <w:spacing w:before="200" w:after="40"/>
      </w:pPr>
      <w:r>
        <w:rPr>
          <w:b/>
          <w:color w:val="2E75B6"/>
          <w:sz w:val="24"/>
        </w:rPr>
        <w:t>5.4 Engångskostnad för överlämning</w:t>
      </w:r>
    </w:p>
    <w:tbl>
      <w:tblPr>
        <w:tblStyle w:val="LightGrid-Accent1"/>
        <w:tblW w:type="auto" w:w="0"/>
        <w:tblLayout w:type="autofit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5102"/>
            <w:shd w:val="clear" w:color="auto" w:fill="1F4E79"/>
          </w:tcPr>
          <w:p>
            <w:r/>
            <w:r>
              <w:rPr>
                <w:b/>
                <w:color w:val="FFFFFF"/>
                <w:sz w:val="22"/>
              </w:rPr>
              <w:t>Aktivitet</w:t>
            </w:r>
          </w:p>
        </w:tc>
        <w:tc>
          <w:tcPr>
            <w:tcW w:type="dxa" w:w="1701"/>
            <w:shd w:val="clear" w:color="auto" w:fill="1F4E79"/>
          </w:tcPr>
          <w:p>
            <w:r/>
            <w:r>
              <w:rPr>
                <w:b/>
                <w:color w:val="FFFFFF"/>
                <w:sz w:val="22"/>
              </w:rPr>
              <w:t>Tid</w:t>
            </w:r>
          </w:p>
        </w:tc>
        <w:tc>
          <w:tcPr>
            <w:tcW w:type="dxa" w:w="2268"/>
            <w:shd w:val="clear" w:color="auto" w:fill="1F4E79"/>
          </w:tcPr>
          <w:p>
            <w:r/>
            <w:r>
              <w:rPr>
                <w:b/>
                <w:color w:val="FFFFFF"/>
                <w:sz w:val="22"/>
              </w:rPr>
              <w:t>Kostnad</w:t>
            </w:r>
          </w:p>
        </w:tc>
      </w:tr>
      <w:tr>
        <w:tc>
          <w:tcPr>
            <w:tcW w:type="dxa" w:w="5102"/>
          </w:tcPr>
          <w:p>
            <w:r/>
            <w:r>
              <w:rPr>
                <w:sz w:val="20"/>
              </w:rPr>
              <w:t>Kontoflytt, Supabase-migrering, domänsättning, Entra ID-konfiguration, M365-SSO, verifiering</w:t>
            </w:r>
          </w:p>
        </w:tc>
        <w:tc>
          <w:tcPr>
            <w:tcW w:type="dxa" w:w="1701"/>
          </w:tcPr>
          <w:p>
            <w:r/>
            <w:r>
              <w:rPr>
                <w:sz w:val="20"/>
              </w:rPr>
              <w:t>8–12 h</w:t>
            </w:r>
          </w:p>
        </w:tc>
        <w:tc>
          <w:tcPr>
            <w:tcW w:type="dxa" w:w="2268"/>
          </w:tcPr>
          <w:p>
            <w:r/>
            <w:r>
              <w:rPr>
                <w:sz w:val="20"/>
              </w:rPr>
              <w:t>10 000–15 000 kr (fast pris)</w:t>
            </w:r>
          </w:p>
        </w:tc>
      </w:tr>
    </w:tbl>
    <w:p/>
    <w:p>
      <w:pPr>
        <w:spacing w:before="200" w:after="40"/>
      </w:pPr>
      <w:r>
        <w:rPr>
          <w:b/>
          <w:color w:val="2E75B6"/>
          <w:sz w:val="24"/>
        </w:rPr>
        <w:t>5.5 Total årlig kostnad – exempel</w:t>
      </w:r>
    </w:p>
    <w:p>
      <w:r>
        <w:rPr>
          <w:b/>
          <w:i w:val="0"/>
          <w:sz w:val="22"/>
        </w:rPr>
        <w:t>För Standard-paketet:</w:t>
      </w:r>
    </w:p>
    <w:p>
      <w:pPr>
        <w:pStyle w:val="ListBullet"/>
      </w:pPr>
      <w:r>
        <w:t>Drift (vidarefakturering): 500 kr × 12 = 6 000 kr</w:t>
      </w:r>
    </w:p>
    <w:p>
      <w:pPr>
        <w:pStyle w:val="ListBullet"/>
      </w:pPr>
      <w:r>
        <w:t>Förvaltning Standard: 5 500 kr × 12 = 66 000 kr</w:t>
      </w:r>
    </w:p>
    <w:p>
      <w:pPr>
        <w:pStyle w:val="ListBullet"/>
      </w:pPr>
      <w:r>
        <w:t>Total löpande: ca 72 000 kr/år</w:t>
      </w:r>
    </w:p>
    <w:p>
      <w:pPr>
        <w:pStyle w:val="ListBullet"/>
      </w:pPr>
      <w:r>
        <w:t>Engångskostnad år 1: +12 000 kr</w:t>
      </w:r>
    </w:p>
    <w:p>
      <w:r>
        <w:rPr>
          <w:b w:val="0"/>
          <w:i/>
          <w:color w:val="595959"/>
          <w:sz w:val="22"/>
        </w:rPr>
        <w:t>Vidareutveckling tillkommer enligt beställning.</w:t>
      </w:r>
    </w:p>
    <w:p>
      <w:pPr>
        <w:spacing w:before="280" w:after="80"/>
      </w:pPr>
      <w:r>
        <w:rPr>
          <w:b/>
          <w:color w:val="1F4E79"/>
          <w:sz w:val="28"/>
        </w:rPr>
        <w:t>6. Förvaltningsprocess</w:t>
      </w:r>
    </w:p>
    <w:p>
      <w:pPr>
        <w:spacing w:before="200" w:after="40"/>
      </w:pPr>
      <w:r>
        <w:rPr>
          <w:b/>
          <w:color w:val="2E75B6"/>
          <w:sz w:val="24"/>
        </w:rPr>
        <w:t>6.1 Löpande månadshjul</w:t>
      </w:r>
    </w:p>
    <w:p>
      <w:pPr>
        <w:pStyle w:val="ListBullet"/>
      </w:pPr>
      <w:r>
        <w:t>Veckovis: automatisk övervakning av drift, säkerhetslarm</w:t>
      </w:r>
    </w:p>
    <w:p>
      <w:pPr>
        <w:pStyle w:val="ListBullet"/>
      </w:pPr>
      <w:r>
        <w:t>Månadsvis: dependency-uppdateringar, säkerhetspatchar, backup-verifiering</w:t>
      </w:r>
    </w:p>
    <w:p>
      <w:pPr>
        <w:pStyle w:val="ListBullet"/>
      </w:pPr>
      <w:r>
        <w:t>Kvartalsvis: statusrapport till Curago (drift, ändringar, kostnader, rekommendationer)</w:t>
      </w:r>
    </w:p>
    <w:p>
      <w:pPr>
        <w:pStyle w:val="ListBullet"/>
      </w:pPr>
      <w:r>
        <w:t>Årligen: större översyn, plan för nästa års utveckling</w:t>
      </w:r>
    </w:p>
    <w:p>
      <w:pPr>
        <w:spacing w:before="200" w:after="40"/>
      </w:pPr>
      <w:r>
        <w:rPr>
          <w:b/>
          <w:color w:val="2E75B6"/>
          <w:sz w:val="24"/>
        </w:rPr>
        <w:t>6.2 Beställningsflöde för ändringar</w:t>
      </w:r>
    </w:p>
    <w:p>
      <w:pPr>
        <w:pStyle w:val="ListNumber"/>
      </w:pPr>
      <w:r>
        <w:t>Curago mejlar önskemål till Criterio</w:t>
      </w:r>
    </w:p>
    <w:p>
      <w:pPr>
        <w:pStyle w:val="ListNumber"/>
      </w:pPr>
      <w:r>
        <w:t>Mindre ändringar (innehåll, mindre fixar) genomförs inom paketet utan separat offert</w:t>
      </w:r>
    </w:p>
    <w:p>
      <w:pPr>
        <w:pStyle w:val="ListNumber"/>
      </w:pPr>
      <w:r>
        <w:t>Större ändringar offereras med fast pris och leveranstid</w:t>
      </w:r>
    </w:p>
    <w:p>
      <w:pPr>
        <w:pStyle w:val="ListNumber"/>
      </w:pPr>
      <w:r>
        <w:t>Vid godkännande utvecklas, testas och driftsätts ändringen</w:t>
      </w:r>
    </w:p>
    <w:p>
      <w:pPr>
        <w:pStyle w:val="ListNumber"/>
      </w:pPr>
      <w:r>
        <w:t>Curago verifierar och godkänner</w:t>
      </w:r>
    </w:p>
    <w:p>
      <w:pPr>
        <w:spacing w:before="200" w:after="40"/>
      </w:pPr>
      <w:r>
        <w:rPr>
          <w:b/>
          <w:color w:val="2E75B6"/>
          <w:sz w:val="24"/>
        </w:rPr>
        <w:t>6.3 Support</w:t>
      </w:r>
    </w:p>
    <w:p>
      <w:pPr>
        <w:pStyle w:val="ListBullet"/>
      </w:pPr>
      <w:r>
        <w:t>Kanaler: e-post och telefon</w:t>
      </w:r>
    </w:p>
    <w:p>
      <w:pPr>
        <w:pStyle w:val="ListBullet"/>
      </w:pPr>
      <w:r>
        <w:t>Svarstid enligt valt paket</w:t>
      </w:r>
    </w:p>
    <w:p>
      <w:pPr>
        <w:pStyle w:val="ListBullet"/>
      </w:pPr>
      <w:r>
        <w:t>Akuta driftstopp hanteras alltid prioriterat oavsett paket</w:t>
      </w:r>
    </w:p>
    <w:p>
      <w:pPr>
        <w:spacing w:before="280" w:after="80"/>
      </w:pPr>
      <w:r>
        <w:rPr>
          <w:b/>
          <w:color w:val="1F4E79"/>
          <w:sz w:val="28"/>
        </w:rPr>
        <w:t>7. Vidareutveckling – möjligheter framåt</w:t>
      </w:r>
    </w:p>
    <w:p>
      <w:r>
        <w:rPr>
          <w:b w:val="0"/>
          <w:i w:val="0"/>
          <w:sz w:val="22"/>
        </w:rPr>
        <w:t>Plattformen är byggd för att enkelt kunna växa. Exempel på utbyggnader vi kan genomföra på beställning:</w:t>
      </w:r>
    </w:p>
    <w:p>
      <w:pPr>
        <w:pStyle w:val="ListBullet"/>
      </w:pPr>
      <w:r>
        <w:t>Fler moduler (modul 7, 8, 9 …) — antingen skriver Curago innehållet, eller så hjälper vi till</w:t>
      </w:r>
    </w:p>
    <w:p>
      <w:pPr>
        <w:pStyle w:val="ListBullet"/>
      </w:pPr>
      <w:r>
        <w:t>AI-driven funktionalitet — t.ex. en AI-handledare som svarar på frågor om innehållet</w:t>
      </w:r>
    </w:p>
    <w:p>
      <w:pPr>
        <w:pStyle w:val="ListBullet"/>
      </w:pPr>
      <w:r>
        <w:t>Certifikat som genereras automatiskt vid godkänt slutprov</w:t>
      </w:r>
    </w:p>
    <w:p>
      <w:pPr>
        <w:pStyle w:val="ListBullet"/>
      </w:pPr>
      <w:r>
        <w:t>Statistik och rapporter för ledningen — vem har gjort vad, genomsnittliga resultat</w:t>
      </w:r>
    </w:p>
    <w:p>
      <w:pPr>
        <w:pStyle w:val="ListBullet"/>
      </w:pPr>
      <w:r>
        <w:t>Påminnelser via e-post för konsulter som inte slutfört utbildningen</w:t>
      </w:r>
    </w:p>
    <w:p>
      <w:pPr>
        <w:pStyle w:val="ListBullet"/>
      </w:pPr>
      <w:r>
        <w:t>Integrering mot andra Curago-system (HR, CRM, projektverktyg)</w:t>
      </w:r>
    </w:p>
    <w:p>
      <w:pPr>
        <w:pStyle w:val="ListBullet"/>
      </w:pPr>
      <w:r>
        <w:t>Flerspråksstöd om Curago expanderar internationellt</w:t>
      </w:r>
    </w:p>
    <w:p>
      <w:r>
        <w:rPr>
          <w:b w:val="0"/>
          <w:i/>
          <w:color w:val="595959"/>
          <w:sz w:val="22"/>
        </w:rPr>
        <w:t>Allt offereras separat som projekt med fast pris.</w:t>
      </w:r>
    </w:p>
    <w:p>
      <w:pPr>
        <w:spacing w:before="280" w:after="80"/>
      </w:pPr>
      <w:r>
        <w:rPr>
          <w:b/>
          <w:color w:val="1F4E79"/>
          <w:sz w:val="28"/>
        </w:rPr>
        <w:t>8. Avtalsvillkor i korthet</w:t>
      </w:r>
    </w:p>
    <w:tbl>
      <w:tblPr>
        <w:tblStyle w:val="LightGrid-Accent1"/>
        <w:tblW w:type="auto" w:w="0"/>
        <w:tblLayout w:type="autofit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2835"/>
            <w:shd w:val="clear" w:color="auto" w:fill="1F4E79"/>
          </w:tcPr>
          <w:p>
            <w:r/>
            <w:r>
              <w:rPr>
                <w:b/>
                <w:color w:val="FFFFFF"/>
                <w:sz w:val="22"/>
              </w:rPr>
              <w:t>Punkt</w:t>
            </w:r>
          </w:p>
        </w:tc>
        <w:tc>
          <w:tcPr>
            <w:tcW w:type="dxa" w:w="6236"/>
            <w:shd w:val="clear" w:color="auto" w:fill="1F4E79"/>
          </w:tcPr>
          <w:p>
            <w:r/>
            <w:r>
              <w:rPr>
                <w:b/>
                <w:color w:val="FFFFFF"/>
                <w:sz w:val="22"/>
              </w:rPr>
              <w:t>Förslag</w:t>
            </w:r>
          </w:p>
        </w:tc>
      </w:tr>
      <w:tr>
        <w:tc>
          <w:tcPr>
            <w:tcW w:type="dxa" w:w="2835"/>
          </w:tcPr>
          <w:p>
            <w:r/>
            <w:r>
              <w:rPr>
                <w:sz w:val="20"/>
              </w:rPr>
              <w:t>Avtalslängd</w:t>
            </w:r>
          </w:p>
        </w:tc>
        <w:tc>
          <w:tcPr>
            <w:tcW w:type="dxa" w:w="6236"/>
          </w:tcPr>
          <w:p>
            <w:r/>
            <w:r>
              <w:rPr>
                <w:sz w:val="20"/>
              </w:rPr>
              <w:t>Tillsvidare, 3 månaders ömsesidig uppsägningstid</w:t>
            </w:r>
          </w:p>
        </w:tc>
      </w:tr>
      <w:tr>
        <w:tc>
          <w:tcPr>
            <w:tcW w:type="dxa" w:w="2835"/>
          </w:tcPr>
          <w:p>
            <w:r/>
            <w:r>
              <w:rPr>
                <w:sz w:val="20"/>
              </w:rPr>
              <w:t>Indexreglering</w:t>
            </w:r>
          </w:p>
        </w:tc>
        <w:tc>
          <w:tcPr>
            <w:tcW w:type="dxa" w:w="6236"/>
          </w:tcPr>
          <w:p>
            <w:r/>
            <w:r>
              <w:rPr>
                <w:sz w:val="20"/>
              </w:rPr>
              <w:t>Årlig justering enligt KPI eller efter överenskommelse</w:t>
            </w:r>
          </w:p>
        </w:tc>
      </w:tr>
      <w:tr>
        <w:tc>
          <w:tcPr>
            <w:tcW w:type="dxa" w:w="2835"/>
          </w:tcPr>
          <w:p>
            <w:r/>
            <w:r>
              <w:rPr>
                <w:sz w:val="20"/>
              </w:rPr>
              <w:t>Ägande av kod och data</w:t>
            </w:r>
          </w:p>
        </w:tc>
        <w:tc>
          <w:tcPr>
            <w:tcW w:type="dxa" w:w="6236"/>
          </w:tcPr>
          <w:p>
            <w:r/>
            <w:r>
              <w:rPr>
                <w:sz w:val="20"/>
              </w:rPr>
              <w:t>Curago äger källkoden och all användardata. Criterio förvaltar. Vid avtalets slut överlämnas allt till Curago eller annan leverantör</w:t>
            </w:r>
          </w:p>
        </w:tc>
      </w:tr>
      <w:tr>
        <w:tc>
          <w:tcPr>
            <w:tcW w:type="dxa" w:w="2835"/>
          </w:tcPr>
          <w:p>
            <w:r/>
            <w:r>
              <w:rPr>
                <w:sz w:val="20"/>
              </w:rPr>
              <w:t>Sekretess</w:t>
            </w:r>
          </w:p>
        </w:tc>
        <w:tc>
          <w:tcPr>
            <w:tcW w:type="dxa" w:w="6236"/>
          </w:tcPr>
          <w:p>
            <w:r/>
            <w:r>
              <w:rPr>
                <w:sz w:val="20"/>
              </w:rPr>
              <w:t>Ömsesidig sekretess enligt branschstandard</w:t>
            </w:r>
          </w:p>
        </w:tc>
      </w:tr>
      <w:tr>
        <w:tc>
          <w:tcPr>
            <w:tcW w:type="dxa" w:w="2835"/>
          </w:tcPr>
          <w:p>
            <w:r/>
            <w:r>
              <w:rPr>
                <w:sz w:val="20"/>
              </w:rPr>
              <w:t>Personuppgifter (GDPR)</w:t>
            </w:r>
          </w:p>
        </w:tc>
        <w:tc>
          <w:tcPr>
            <w:tcW w:type="dxa" w:w="6236"/>
          </w:tcPr>
          <w:p>
            <w:r/>
            <w:r>
              <w:rPr>
                <w:sz w:val="20"/>
              </w:rPr>
              <w:t>Reglerat i separat personuppgiftsbiträdesavtal</w:t>
            </w:r>
          </w:p>
        </w:tc>
      </w:tr>
      <w:tr>
        <w:tc>
          <w:tcPr>
            <w:tcW w:type="dxa" w:w="2835"/>
          </w:tcPr>
          <w:p>
            <w:r/>
            <w:r>
              <w:rPr>
                <w:sz w:val="20"/>
              </w:rPr>
              <w:t>Ansvarsbegränsning</w:t>
            </w:r>
          </w:p>
        </w:tc>
        <w:tc>
          <w:tcPr>
            <w:tcW w:type="dxa" w:w="6236"/>
          </w:tcPr>
          <w:p>
            <w:r/>
            <w:r>
              <w:rPr>
                <w:sz w:val="20"/>
              </w:rPr>
              <w:t>Enligt branschstandard, max 12 månadsavgifter</w:t>
            </w:r>
          </w:p>
        </w:tc>
      </w:tr>
      <w:tr>
        <w:tc>
          <w:tcPr>
            <w:tcW w:type="dxa" w:w="2835"/>
          </w:tcPr>
          <w:p>
            <w:r/>
            <w:r>
              <w:rPr>
                <w:sz w:val="20"/>
              </w:rPr>
              <w:t>Försäkring</w:t>
            </w:r>
          </w:p>
        </w:tc>
        <w:tc>
          <w:tcPr>
            <w:tcW w:type="dxa" w:w="6236"/>
          </w:tcPr>
          <w:p>
            <w:r/>
            <w:r>
              <w:rPr>
                <w:sz w:val="20"/>
              </w:rPr>
              <w:t>Criterio har konsultansvarsförsäkring</w:t>
            </w:r>
          </w:p>
        </w:tc>
      </w:tr>
    </w:tbl>
    <w:p/>
    <w:p>
      <w:pPr>
        <w:spacing w:before="280" w:after="80"/>
      </w:pPr>
      <w:r>
        <w:rPr>
          <w:b/>
          <w:color w:val="1F4E79"/>
          <w:sz w:val="28"/>
        </w:rPr>
        <w:t>9. Varför Criterio Consulting AB?</w:t>
      </w:r>
    </w:p>
    <w:p>
      <w:pPr>
        <w:pStyle w:val="ListBullet"/>
      </w:pPr>
      <w:r>
        <w:t>Vi byggde plattformen — ingen annan kan den lika väl</w:t>
      </w:r>
    </w:p>
    <w:p>
      <w:pPr>
        <w:pStyle w:val="ListBullet"/>
      </w:pPr>
      <w:r>
        <w:t>Ingen inlärningskurva — drift kan starta dagen efter avtal</w:t>
      </w:r>
    </w:p>
    <w:p>
      <w:pPr>
        <w:pStyle w:val="ListBullet"/>
      </w:pPr>
      <w:r>
        <w:t>En enda kontaktpunkt — ni slipper jonglera leverantörer</w:t>
      </w:r>
    </w:p>
    <w:p>
      <w:pPr>
        <w:pStyle w:val="ListBullet"/>
      </w:pPr>
      <w:r>
        <w:t>Förutsägbar kostnad — fast månadsavgift, inga överraskningar</w:t>
      </w:r>
    </w:p>
    <w:p>
      <w:pPr>
        <w:pStyle w:val="ListBullet"/>
      </w:pPr>
      <w:r>
        <w:t>Småskalig och snabb — inga ärendenummer eller supportköer; ni når oss direkt</w:t>
      </w:r>
    </w:p>
    <w:p>
      <w:pPr>
        <w:pStyle w:val="ListBullet"/>
      </w:pPr>
      <w:r>
        <w:t>Curago äger sin data och sin kod — ni är aldrig inlåsta hos oss</w:t>
      </w:r>
    </w:p>
    <w:p>
      <w:pPr>
        <w:spacing w:before="280" w:after="80"/>
      </w:pPr>
      <w:r>
        <w:rPr>
          <w:b/>
          <w:color w:val="1F4E79"/>
          <w:sz w:val="28"/>
        </w:rPr>
        <w:t>10. Nästa steg</w:t>
      </w:r>
    </w:p>
    <w:p>
      <w:r>
        <w:rPr>
          <w:b w:val="0"/>
          <w:i w:val="0"/>
          <w:sz w:val="22"/>
        </w:rPr>
        <w:t>Om ni finner upplägget intressant föreslår vi följande:</w:t>
      </w:r>
    </w:p>
    <w:p>
      <w:pPr>
        <w:pStyle w:val="ListNumber"/>
      </w:pPr>
      <w:r>
        <w:t>Avstämningsmöte (30 min) — vi går igenom förslaget och svarar på frågor</w:t>
      </w:r>
    </w:p>
    <w:p>
      <w:pPr>
        <w:pStyle w:val="ListNumber"/>
      </w:pPr>
      <w:r>
        <w:t>Val av servicepaket (Bas / Standard / Premium)</w:t>
      </w:r>
    </w:p>
    <w:p>
      <w:pPr>
        <w:pStyle w:val="ListNumber"/>
      </w:pPr>
      <w:r>
        <w:t>Avtalsskrivning — vi tar fram ett enkelt avtal baserat på detta dokument</w:t>
      </w:r>
    </w:p>
    <w:p>
      <w:pPr>
        <w:pStyle w:val="ListNumber"/>
      </w:pPr>
      <w:r>
        <w:t>Överlämning — vi genomför kontoflytt och M365-SSO inom 1–2 veckor från avtal</w:t>
      </w:r>
    </w:p>
    <w:p>
      <w:pPr>
        <w:pStyle w:val="ListNumber"/>
      </w:pPr>
      <w:r>
        <w:t>Driftstart — Curago får en formell driftstartsbekräftelse och kan börja använda systemet via Microsoft-inloggning</w:t>
      </w:r>
    </w:p>
    <w:p>
      <w:pPr>
        <w:pBdr>
          <w:bottom w:val="single" w:sz="6" w:space="1" w:color="1F4E79"/>
        </w:pBdr>
      </w:pPr>
    </w:p>
    <w:p>
      <w:pPr>
        <w:spacing w:before="280" w:after="80"/>
      </w:pPr>
      <w:r>
        <w:rPr>
          <w:b/>
          <w:color w:val="1F4E79"/>
          <w:sz w:val="28"/>
        </w:rPr>
        <w:t>Sammanfattning</w:t>
      </w:r>
    </w:p>
    <w:p>
      <w:r>
        <w:rPr>
          <w:b w:val="0"/>
          <w:i w:val="0"/>
          <w:sz w:val="22"/>
        </w:rPr>
        <w:t>För ca 6 000 kr/månad (Standard-paket inkl. allt) tar Criterio Consulting AB över hela ansvaret för Curagos AI-utbildningsplattform. Curago får en modern, säker och Microsoft-integrerad lösning utan att behöva bygga upp egen IT-kompetens — och med full frihet att när som helst flytta tjänsten till någon annan.</w:t>
      </w:r>
    </w:p>
    <w:p>
      <w:r>
        <w:rPr>
          <w:b w:val="0"/>
          <w:i w:val="0"/>
          <w:sz w:val="22"/>
        </w:rPr>
        <w:t>Vi ser fram emot er återkoppling.</w:t>
      </w:r>
    </w:p>
    <w:p/>
    <w:p>
      <w:r>
        <w:rPr>
          <w:b/>
          <w:i w:val="0"/>
          <w:sz w:val="22"/>
        </w:rPr>
        <w:t>Med vänlig hälsning,</w:t>
      </w:r>
    </w:p>
    <w:p>
      <w:r>
        <w:rPr>
          <w:b/>
          <w:i w:val="0"/>
          <w:color w:val="1F4E79"/>
          <w:sz w:val="22"/>
        </w:rPr>
        <w:t>Criterio Consulting AB</w:t>
      </w:r>
    </w:p>
    <w:sectPr w:rsidR="00FC693F" w:rsidRPr="0006063C" w:rsidSect="00034616">
      <w:pgSz w:w="12240" w:h="15840"/>
      <w:pgMar w:top="1247" w:right="1247" w:bottom="1247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