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399" w:rsidRDefault="009E2D38" w:rsidP="008C1476">
      <w:pPr>
        <w:pStyle w:val="Heading1"/>
      </w:pPr>
      <w:r w:rsidRPr="009E2D38">
        <w:t>Window</w:t>
      </w:r>
      <w:bookmarkStart w:id="0" w:name="_GoBack"/>
      <w:bookmarkEnd w:id="0"/>
      <w:r w:rsidRPr="009E2D38">
        <w:t>s PowerShell Quick Reference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508"/>
        <w:gridCol w:w="5508"/>
      </w:tblGrid>
      <w:tr w:rsidR="009E2D38" w:rsidTr="00072445">
        <w:tc>
          <w:tcPr>
            <w:tcW w:w="5508" w:type="dxa"/>
            <w:tcBorders>
              <w:right w:val="single" w:sz="4" w:space="0" w:color="000000" w:themeColor="text1"/>
            </w:tcBorders>
          </w:tcPr>
          <w:p w:rsidR="002C226A" w:rsidRDefault="002C226A" w:rsidP="002C226A">
            <w:pPr>
              <w:pStyle w:val="Heading4"/>
              <w:outlineLvl w:val="3"/>
            </w:pPr>
            <w:r>
              <w:t>Getting Started</w:t>
            </w:r>
          </w:p>
          <w:p w:rsidR="002C226A" w:rsidRDefault="002C226A" w:rsidP="002C226A">
            <w:r>
              <w:t xml:space="preserve">To create a variable, use the </w:t>
            </w:r>
            <w:r w:rsidRPr="002C226A">
              <w:rPr>
                <w:rStyle w:val="InlineCode"/>
              </w:rPr>
              <w:t>$</w:t>
            </w:r>
            <w:r>
              <w:t xml:space="preserve"> sign.</w:t>
            </w:r>
          </w:p>
          <w:p w:rsid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>$var1 = “Hello world”</w:t>
            </w:r>
          </w:p>
          <w:p w:rsidR="002C226A" w:rsidRDefault="002C226A" w:rsidP="002C226A">
            <w:r w:rsidRPr="002C226A">
              <w:t>To write</w:t>
            </w:r>
            <w:r>
              <w:t xml:space="preserve"> </w:t>
            </w:r>
            <w:r w:rsidR="00072445">
              <w:t xml:space="preserve">text </w:t>
            </w:r>
            <w:r>
              <w:t xml:space="preserve">to the console, use </w:t>
            </w:r>
            <w:r w:rsidR="00072445">
              <w:t xml:space="preserve">the </w:t>
            </w:r>
            <w:r w:rsidRPr="002C226A">
              <w:rPr>
                <w:rStyle w:val="InlineCode"/>
              </w:rPr>
              <w:t>Write-</w:t>
            </w:r>
            <w:proofErr w:type="spellStart"/>
            <w:r w:rsidRPr="002C226A">
              <w:rPr>
                <w:rStyle w:val="InlineCode"/>
              </w:rPr>
              <w:t>Host</w:t>
            </w:r>
            <w:r>
              <w:t>.</w:t>
            </w:r>
            <w:r w:rsidR="00072445">
              <w:t>cmdlet</w:t>
            </w:r>
            <w:proofErr w:type="spellEnd"/>
            <w:r w:rsidR="00072445">
              <w:t>.</w:t>
            </w:r>
          </w:p>
          <w:p w:rsidR="002C226A" w:rsidRP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 xml:space="preserve">$var1 = “Hello </w:t>
            </w:r>
            <w:r w:rsidRPr="002C226A">
              <w:rPr>
                <w:rStyle w:val="InlineCode"/>
              </w:rPr>
              <w:t>world”</w:t>
            </w:r>
          </w:p>
          <w:p w:rsidR="002C226A" w:rsidRDefault="002C226A" w:rsidP="002C226A">
            <w:pPr>
              <w:rPr>
                <w:rStyle w:val="InlineCode"/>
              </w:rPr>
            </w:pPr>
            <w:r w:rsidRPr="002C226A">
              <w:rPr>
                <w:rStyle w:val="InlineCode"/>
              </w:rPr>
              <w:t>Write-Host $var1</w:t>
            </w:r>
          </w:p>
          <w:p w:rsidR="002C226A" w:rsidRDefault="002C226A" w:rsidP="002C226A">
            <w:r w:rsidRPr="002C226A">
              <w:t>To add a comment, use the # sign</w:t>
            </w:r>
            <w:r>
              <w:t>.</w:t>
            </w:r>
          </w:p>
          <w:p w:rsid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># display message to user</w:t>
            </w:r>
          </w:p>
          <w:p w:rsidR="002C226A" w:rsidRP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 xml:space="preserve">$var1 = “Hello </w:t>
            </w:r>
            <w:r w:rsidRPr="002C226A">
              <w:rPr>
                <w:rStyle w:val="InlineCode"/>
              </w:rPr>
              <w:t>world”</w:t>
            </w:r>
          </w:p>
          <w:p w:rsidR="002C226A" w:rsidRDefault="002C226A" w:rsidP="002C226A">
            <w:pPr>
              <w:rPr>
                <w:rStyle w:val="InlineCode"/>
              </w:rPr>
            </w:pPr>
            <w:r w:rsidRPr="002C226A">
              <w:rPr>
                <w:rStyle w:val="InlineCode"/>
              </w:rPr>
              <w:t>Write-Host $var1</w:t>
            </w:r>
          </w:p>
          <w:p w:rsidR="00072445" w:rsidRDefault="00072445" w:rsidP="002C226A">
            <w:pPr>
              <w:pStyle w:val="Heading4"/>
              <w:outlineLvl w:val="3"/>
            </w:pPr>
            <w:r>
              <w:t>Working with Arrays</w:t>
            </w:r>
          </w:p>
          <w:p w:rsidR="00072445" w:rsidRDefault="00072445" w:rsidP="00072445">
            <w:r>
              <w:t>To create an array, use []</w:t>
            </w:r>
          </w:p>
          <w:p w:rsidR="00072445" w:rsidRPr="004E7060" w:rsidRDefault="004E7060" w:rsidP="00072445">
            <w:pPr>
              <w:rPr>
                <w:rStyle w:val="InlineCode"/>
              </w:rPr>
            </w:pPr>
            <w:r>
              <w:rPr>
                <w:rStyle w:val="InlineCode"/>
              </w:rPr>
              <w:t>$</w:t>
            </w:r>
            <w:proofErr w:type="spellStart"/>
            <w:r>
              <w:rPr>
                <w:rStyle w:val="InlineCode"/>
              </w:rPr>
              <w:t>beatles</w:t>
            </w:r>
            <w:proofErr w:type="spellEnd"/>
            <w:r>
              <w:rPr>
                <w:rStyle w:val="InlineCode"/>
              </w:rPr>
              <w:t xml:space="preserve"> = [ “john”, “</w:t>
            </w:r>
            <w:proofErr w:type="spellStart"/>
            <w:r>
              <w:rPr>
                <w:rStyle w:val="InlineCode"/>
              </w:rPr>
              <w:t>paul</w:t>
            </w:r>
            <w:proofErr w:type="spellEnd"/>
            <w:r>
              <w:rPr>
                <w:rStyle w:val="InlineCode"/>
              </w:rPr>
              <w:t>”, “</w:t>
            </w:r>
            <w:proofErr w:type="spellStart"/>
            <w:r>
              <w:rPr>
                <w:rStyle w:val="InlineCode"/>
              </w:rPr>
              <w:t>george</w:t>
            </w:r>
            <w:proofErr w:type="spellEnd"/>
            <w:r>
              <w:rPr>
                <w:rStyle w:val="InlineCode"/>
              </w:rPr>
              <w:t>”, “</w:t>
            </w:r>
            <w:proofErr w:type="spellStart"/>
            <w:r>
              <w:rPr>
                <w:rStyle w:val="InlineCode"/>
              </w:rPr>
              <w:t>ringo</w:t>
            </w:r>
            <w:proofErr w:type="spellEnd"/>
            <w:r>
              <w:rPr>
                <w:rStyle w:val="InlineCode"/>
              </w:rPr>
              <w:t>” ]</w:t>
            </w:r>
          </w:p>
          <w:p w:rsidR="004E7060" w:rsidRDefault="004E7060" w:rsidP="004E7060">
            <w:r>
              <w:t>To access an element, use [] notation</w:t>
            </w:r>
          </w:p>
          <w:p w:rsidR="004E7060" w:rsidRPr="004E7060" w:rsidRDefault="004E7060" w:rsidP="004E7060">
            <w:pPr>
              <w:rPr>
                <w:rStyle w:val="InlineCode"/>
              </w:rPr>
            </w:pPr>
            <w:r>
              <w:rPr>
                <w:rStyle w:val="InlineCode"/>
              </w:rPr>
              <w:t>$</w:t>
            </w:r>
            <w:proofErr w:type="spellStart"/>
            <w:r>
              <w:rPr>
                <w:rStyle w:val="InlineCode"/>
              </w:rPr>
              <w:t>beatles</w:t>
            </w:r>
            <w:proofErr w:type="spellEnd"/>
            <w:r>
              <w:rPr>
                <w:rStyle w:val="InlineCode"/>
              </w:rPr>
              <w:t xml:space="preserve"> = [ “john”, </w:t>
            </w:r>
            <w:r w:rsidRPr="004E7060">
              <w:rPr>
                <w:rStyle w:val="InlineCode"/>
              </w:rPr>
              <w:t>“</w:t>
            </w:r>
            <w:proofErr w:type="spellStart"/>
            <w:r w:rsidRPr="004E7060">
              <w:rPr>
                <w:rStyle w:val="InlineCode"/>
              </w:rPr>
              <w:t>paul</w:t>
            </w:r>
            <w:proofErr w:type="spellEnd"/>
            <w:r w:rsidRPr="004E7060">
              <w:rPr>
                <w:rStyle w:val="InlineCode"/>
              </w:rPr>
              <w:t>”, “</w:t>
            </w:r>
            <w:proofErr w:type="spellStart"/>
            <w:r w:rsidRPr="004E7060">
              <w:rPr>
                <w:rStyle w:val="InlineCode"/>
              </w:rPr>
              <w:t>george</w:t>
            </w:r>
            <w:proofErr w:type="spellEnd"/>
            <w:r w:rsidRPr="004E7060">
              <w:rPr>
                <w:rStyle w:val="InlineCode"/>
              </w:rPr>
              <w:t>”, “</w:t>
            </w:r>
            <w:proofErr w:type="spellStart"/>
            <w:r w:rsidRPr="004E7060">
              <w:rPr>
                <w:rStyle w:val="InlineCode"/>
              </w:rPr>
              <w:t>ringo</w:t>
            </w:r>
            <w:proofErr w:type="spellEnd"/>
            <w:r w:rsidRPr="004E7060">
              <w:rPr>
                <w:rStyle w:val="InlineCode"/>
              </w:rPr>
              <w:t>” ]</w:t>
            </w:r>
          </w:p>
          <w:p w:rsidR="004E7060" w:rsidRPr="004E7060" w:rsidRDefault="004E7060" w:rsidP="004E7060">
            <w:pPr>
              <w:rPr>
                <w:rStyle w:val="InlineCode"/>
              </w:rPr>
            </w:pPr>
            <w:r w:rsidRPr="004E7060">
              <w:rPr>
                <w:rStyle w:val="InlineCode"/>
              </w:rPr>
              <w:t>$drummer = $</w:t>
            </w:r>
            <w:proofErr w:type="spellStart"/>
            <w:r w:rsidRPr="004E7060">
              <w:rPr>
                <w:rStyle w:val="InlineCode"/>
              </w:rPr>
              <w:t>beatle</w:t>
            </w:r>
            <w:proofErr w:type="spellEnd"/>
            <w:r w:rsidRPr="004E7060">
              <w:rPr>
                <w:rStyle w:val="InlineCode"/>
              </w:rPr>
              <w:t>[3];</w:t>
            </w:r>
          </w:p>
          <w:p w:rsidR="004E7060" w:rsidRDefault="004E7060" w:rsidP="004E7060">
            <w:r>
              <w:t xml:space="preserve">To </w:t>
            </w:r>
            <w:r>
              <w:t>enumerate through an array, use For-Each</w:t>
            </w:r>
          </w:p>
          <w:p w:rsidR="004E7060" w:rsidRDefault="004E7060" w:rsidP="004E7060">
            <w:pPr>
              <w:rPr>
                <w:rStyle w:val="InlineCode"/>
              </w:rPr>
            </w:pPr>
            <w:r>
              <w:rPr>
                <w:rStyle w:val="InlineCode"/>
              </w:rPr>
              <w:t>$</w:t>
            </w:r>
            <w:proofErr w:type="spellStart"/>
            <w:r>
              <w:rPr>
                <w:rStyle w:val="InlineCode"/>
              </w:rPr>
              <w:t>beatles</w:t>
            </w:r>
            <w:proofErr w:type="spellEnd"/>
            <w:r>
              <w:rPr>
                <w:rStyle w:val="InlineCode"/>
              </w:rPr>
              <w:t xml:space="preserve"> = [ “john”, “</w:t>
            </w:r>
            <w:proofErr w:type="spellStart"/>
            <w:r>
              <w:rPr>
                <w:rStyle w:val="InlineCode"/>
              </w:rPr>
              <w:t>paul</w:t>
            </w:r>
            <w:proofErr w:type="spellEnd"/>
            <w:r>
              <w:rPr>
                <w:rStyle w:val="InlineCode"/>
              </w:rPr>
              <w:t>”, “</w:t>
            </w:r>
            <w:proofErr w:type="spellStart"/>
            <w:r>
              <w:rPr>
                <w:rStyle w:val="InlineCode"/>
              </w:rPr>
              <w:t>george</w:t>
            </w:r>
            <w:proofErr w:type="spellEnd"/>
            <w:r>
              <w:rPr>
                <w:rStyle w:val="InlineCode"/>
              </w:rPr>
              <w:t>”, “</w:t>
            </w:r>
            <w:proofErr w:type="spellStart"/>
            <w:r>
              <w:rPr>
                <w:rStyle w:val="InlineCode"/>
              </w:rPr>
              <w:t>ringo</w:t>
            </w:r>
            <w:proofErr w:type="spellEnd"/>
            <w:r>
              <w:rPr>
                <w:rStyle w:val="InlineCode"/>
              </w:rPr>
              <w:t>” ]</w:t>
            </w:r>
          </w:p>
          <w:p w:rsidR="004E7060" w:rsidRPr="004E7060" w:rsidRDefault="004E7060" w:rsidP="004E7060">
            <w:pPr>
              <w:rPr>
                <w:rStyle w:val="InlineCode"/>
              </w:rPr>
            </w:pPr>
            <w:r>
              <w:rPr>
                <w:rStyle w:val="InlineCode"/>
              </w:rPr>
              <w:t>For-Each</w:t>
            </w:r>
          </w:p>
          <w:p w:rsidR="004E7060" w:rsidRPr="004E7060" w:rsidRDefault="004E7060" w:rsidP="004E7060"/>
          <w:p w:rsidR="009E2D38" w:rsidRDefault="009E2D38" w:rsidP="002C226A">
            <w:pPr>
              <w:pStyle w:val="Heading4"/>
              <w:outlineLvl w:val="3"/>
            </w:pPr>
            <w:r>
              <w:t>Access</w:t>
            </w:r>
            <w:r w:rsidR="00033092">
              <w:t>ing</w:t>
            </w:r>
            <w:r>
              <w:t xml:space="preserve"> </w:t>
            </w:r>
            <w:r w:rsidR="002C226A">
              <w:t xml:space="preserve">Command-line </w:t>
            </w:r>
            <w:r>
              <w:t>Arguments</w:t>
            </w:r>
          </w:p>
          <w:p w:rsidR="002C226A" w:rsidRDefault="002C226A" w:rsidP="002C226A">
            <w:r>
              <w:t>To access command-line arguments</w:t>
            </w:r>
            <w:r>
              <w:t xml:space="preserve">, </w:t>
            </w:r>
            <w:r>
              <w:t xml:space="preserve">use the </w:t>
            </w:r>
            <w:r>
              <w:t xml:space="preserve">built-in array </w:t>
            </w:r>
            <w:r>
              <w:t>variable</w:t>
            </w:r>
            <w:r>
              <w:t xml:space="preserve"> named</w:t>
            </w:r>
            <w:r>
              <w:t xml:space="preserve"> $</w:t>
            </w:r>
            <w:proofErr w:type="spellStart"/>
            <w:r>
              <w:t>args</w:t>
            </w:r>
            <w:proofErr w:type="spellEnd"/>
            <w:r>
              <w:t>.</w:t>
            </w:r>
          </w:p>
          <w:p w:rsid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 xml:space="preserve">$x = </w:t>
            </w:r>
            <w:r w:rsidRPr="002C226A">
              <w:rPr>
                <w:rStyle w:val="InlineCode"/>
              </w:rPr>
              <w:t>$</w:t>
            </w:r>
            <w:proofErr w:type="spellStart"/>
            <w:r w:rsidRPr="002C226A">
              <w:rPr>
                <w:rStyle w:val="InlineCode"/>
              </w:rPr>
              <w:t>args</w:t>
            </w:r>
            <w:proofErr w:type="spellEnd"/>
            <w:r w:rsidRPr="002C226A">
              <w:rPr>
                <w:rStyle w:val="InlineCode"/>
              </w:rPr>
              <w:t>[0]</w:t>
            </w:r>
            <w:r>
              <w:rPr>
                <w:rStyle w:val="InlineCode"/>
              </w:rPr>
              <w:t xml:space="preserve"> # get value of first argument</w:t>
            </w:r>
          </w:p>
          <w:p w:rsidR="002C226A" w:rsidRPr="002C226A" w:rsidRDefault="002C226A" w:rsidP="002C226A">
            <w:pPr>
              <w:rPr>
                <w:rStyle w:val="InlineCode"/>
              </w:rPr>
            </w:pPr>
            <w:r>
              <w:rPr>
                <w:rStyle w:val="InlineCode"/>
              </w:rPr>
              <w:t>$y</w:t>
            </w:r>
            <w:r>
              <w:rPr>
                <w:rStyle w:val="InlineCode"/>
              </w:rPr>
              <w:t xml:space="preserve"> = </w:t>
            </w:r>
            <w:r>
              <w:rPr>
                <w:rStyle w:val="InlineCode"/>
              </w:rPr>
              <w:t>$</w:t>
            </w:r>
            <w:proofErr w:type="spellStart"/>
            <w:r>
              <w:rPr>
                <w:rStyle w:val="InlineCode"/>
              </w:rPr>
              <w:t>args</w:t>
            </w:r>
            <w:proofErr w:type="spellEnd"/>
            <w:r>
              <w:rPr>
                <w:rStyle w:val="InlineCode"/>
              </w:rPr>
              <w:t>[1</w:t>
            </w:r>
            <w:r w:rsidRPr="002C226A">
              <w:rPr>
                <w:rStyle w:val="InlineCode"/>
              </w:rPr>
              <w:t>]</w:t>
            </w:r>
            <w:r>
              <w:rPr>
                <w:rStyle w:val="InlineCode"/>
              </w:rPr>
              <w:t xml:space="preserve"> # get value of </w:t>
            </w:r>
            <w:r>
              <w:rPr>
                <w:rStyle w:val="InlineCode"/>
              </w:rPr>
              <w:t xml:space="preserve">second </w:t>
            </w:r>
            <w:r>
              <w:rPr>
                <w:rStyle w:val="InlineCode"/>
              </w:rPr>
              <w:t>argument</w:t>
            </w:r>
          </w:p>
          <w:p w:rsidR="002C226A" w:rsidRPr="002C226A" w:rsidRDefault="002C226A" w:rsidP="002C226A">
            <w:r w:rsidRPr="002C226A">
              <w:t>If no arguments</w:t>
            </w:r>
            <w:r>
              <w:t xml:space="preserve"> are passed, $</w:t>
            </w:r>
            <w:proofErr w:type="spellStart"/>
            <w:r>
              <w:t>args</w:t>
            </w:r>
            <w:proofErr w:type="spellEnd"/>
            <w:r>
              <w:t xml:space="preserve"> has a value of null.</w:t>
            </w:r>
          </w:p>
          <w:p w:rsidR="002C226A" w:rsidRDefault="002C226A" w:rsidP="002C226A">
            <w:r>
              <w:t>You can reference the last item in a collection by using the index number –1:</w:t>
            </w:r>
          </w:p>
          <w:p w:rsidR="002C226A" w:rsidRPr="002C226A" w:rsidRDefault="002C226A" w:rsidP="002C226A">
            <w:pPr>
              <w:rPr>
                <w:rStyle w:val="InlineCode"/>
              </w:rPr>
            </w:pPr>
            <w:r w:rsidRPr="002C226A">
              <w:rPr>
                <w:rStyle w:val="InlineCode"/>
              </w:rPr>
              <w:t>$</w:t>
            </w:r>
            <w:proofErr w:type="spellStart"/>
            <w:r w:rsidRPr="002C226A">
              <w:rPr>
                <w:rStyle w:val="InlineCode"/>
              </w:rPr>
              <w:t>args</w:t>
            </w:r>
            <w:proofErr w:type="spellEnd"/>
            <w:r w:rsidRPr="002C226A">
              <w:rPr>
                <w:rStyle w:val="InlineCode"/>
              </w:rPr>
              <w:t>[-1]</w:t>
            </w:r>
          </w:p>
          <w:p w:rsidR="009E2D38" w:rsidRDefault="002C226A" w:rsidP="002C226A">
            <w:pPr>
              <w:pStyle w:val="Heading4"/>
            </w:pPr>
            <w:r>
              <w:t>H</w:t>
            </w:r>
            <w:r w:rsidR="009E2D38">
              <w:rPr>
                <w:vanish/>
              </w:rPr>
              <w:t>H</w:t>
            </w:r>
            <w:r w:rsidR="009E2D38">
              <w:t>ow to use Colored Text</w:t>
            </w:r>
          </w:p>
          <w:p w:rsidR="002C226A" w:rsidRDefault="002C226A" w:rsidP="002C226A">
            <w:pPr>
              <w:pStyle w:val="Heading4"/>
              <w:outlineLvl w:val="3"/>
            </w:pPr>
            <w:r w:rsidRPr="002C226A">
              <w:t>How to Insert a Paragraph Return</w:t>
            </w:r>
          </w:p>
          <w:p w:rsidR="002C226A" w:rsidRDefault="002C226A" w:rsidP="002C226A">
            <w:r w:rsidRPr="002C226A">
              <w:t>How to Insert Comments</w:t>
            </w:r>
          </w:p>
          <w:p w:rsidR="002C226A" w:rsidRPr="002C226A" w:rsidRDefault="002C226A" w:rsidP="002C226A"/>
          <w:p w:rsidR="009E2D38" w:rsidRPr="009E2D38" w:rsidRDefault="009E2D38" w:rsidP="009E2D38">
            <w:pPr>
              <w:rPr>
                <w:vanish/>
              </w:rPr>
            </w:pPr>
            <w:r>
              <w:rPr>
                <w:vanish/>
              </w:rPr>
              <w:t>How to insert a pa</w:t>
            </w:r>
          </w:p>
          <w:p w:rsidR="009E2D38" w:rsidRDefault="009E2D38" w:rsidP="009E2D38"/>
        </w:tc>
        <w:tc>
          <w:tcPr>
            <w:tcW w:w="5508" w:type="dxa"/>
            <w:tcBorders>
              <w:left w:val="single" w:sz="4" w:space="0" w:color="000000" w:themeColor="text1"/>
            </w:tcBorders>
          </w:tcPr>
          <w:p w:rsidR="002C226A" w:rsidRDefault="002C226A" w:rsidP="002C226A">
            <w:pPr>
              <w:pStyle w:val="Heading4"/>
              <w:outlineLvl w:val="3"/>
            </w:pPr>
            <w:r>
              <w:t>Load the SharePoint PowerShell Provider</w:t>
            </w:r>
          </w:p>
          <w:p w:rsidR="002C226A" w:rsidRPr="002C226A" w:rsidRDefault="002C226A" w:rsidP="002C226A"/>
          <w:p w:rsidR="009E2D38" w:rsidRDefault="004E7060" w:rsidP="002C226A">
            <w:pPr>
              <w:pStyle w:val="Heading4"/>
              <w:outlineLvl w:val="3"/>
            </w:pPr>
            <w:r>
              <w:t>Writing If Statements</w:t>
            </w:r>
          </w:p>
          <w:p w:rsidR="004E7060" w:rsidRDefault="004E7060" w:rsidP="004E7060"/>
          <w:p w:rsidR="004E7060" w:rsidRPr="0041637B" w:rsidRDefault="004E7060" w:rsidP="004E7060">
            <w:pPr>
              <w:widowControl w:val="0"/>
              <w:rPr>
                <w:rFonts w:cs="Arial"/>
                <w:sz w:val="16"/>
                <w:szCs w:val="16"/>
              </w:rPr>
            </w:pPr>
            <w:r w:rsidRPr="0041637B">
              <w:rPr>
                <w:rFonts w:cs="Arial"/>
                <w:sz w:val="16"/>
                <w:szCs w:val="16"/>
              </w:rPr>
              <w:t xml:space="preserve">Each of these operators can be made case sensitive by adding a </w:t>
            </w:r>
            <w:r w:rsidRPr="0041637B">
              <w:rPr>
                <w:rFonts w:cs="Arial"/>
                <w:b/>
                <w:bCs/>
                <w:sz w:val="16"/>
                <w:szCs w:val="16"/>
              </w:rPr>
              <w:t>c</w:t>
            </w:r>
            <w:r w:rsidRPr="0041637B">
              <w:rPr>
                <w:rFonts w:cs="Arial"/>
                <w:sz w:val="16"/>
                <w:szCs w:val="16"/>
              </w:rPr>
              <w:t xml:space="preserve"> immediately after the hyphen. For example,   </w:t>
            </w:r>
            <w:r w:rsidRPr="0041637B">
              <w:rPr>
                <w:rFonts w:cs="Arial"/>
                <w:b/>
                <w:bCs/>
                <w:sz w:val="16"/>
                <w:szCs w:val="16"/>
              </w:rPr>
              <w:t>-</w:t>
            </w:r>
            <w:proofErr w:type="spellStart"/>
            <w:r w:rsidRPr="0041637B">
              <w:rPr>
                <w:rFonts w:cs="Arial"/>
                <w:b/>
                <w:bCs/>
                <w:sz w:val="16"/>
                <w:szCs w:val="16"/>
              </w:rPr>
              <w:t>ceq</w:t>
            </w:r>
            <w:proofErr w:type="spellEnd"/>
            <w:r w:rsidRPr="0041637B">
              <w:rPr>
                <w:rFonts w:cs="Arial"/>
                <w:b/>
                <w:bCs/>
                <w:sz w:val="16"/>
                <w:szCs w:val="16"/>
              </w:rPr>
              <w:t xml:space="preserve"> </w:t>
            </w:r>
            <w:r w:rsidRPr="0041637B">
              <w:rPr>
                <w:rFonts w:cs="Arial"/>
                <w:sz w:val="16"/>
                <w:szCs w:val="16"/>
              </w:rPr>
              <w:t xml:space="preserve">represents the case-sensitive </w:t>
            </w:r>
            <w:proofErr w:type="gramStart"/>
            <w:r w:rsidRPr="0041637B">
              <w:rPr>
                <w:rFonts w:cs="Arial"/>
                <w:sz w:val="16"/>
                <w:szCs w:val="16"/>
              </w:rPr>
              <w:t>equals</w:t>
            </w:r>
            <w:proofErr w:type="gramEnd"/>
            <w:r w:rsidRPr="0041637B">
              <w:rPr>
                <w:rFonts w:cs="Arial"/>
                <w:sz w:val="16"/>
                <w:szCs w:val="16"/>
              </w:rPr>
              <w:t xml:space="preserve"> operator; </w:t>
            </w:r>
            <w:r w:rsidRPr="0041637B">
              <w:rPr>
                <w:rFonts w:cs="Arial"/>
                <w:b/>
                <w:bCs/>
                <w:sz w:val="16"/>
                <w:szCs w:val="16"/>
              </w:rPr>
              <w:t>-</w:t>
            </w:r>
            <w:proofErr w:type="spellStart"/>
            <w:r w:rsidRPr="0041637B">
              <w:rPr>
                <w:rFonts w:cs="Arial"/>
                <w:b/>
                <w:bCs/>
                <w:sz w:val="16"/>
                <w:szCs w:val="16"/>
              </w:rPr>
              <w:t>clt</w:t>
            </w:r>
            <w:proofErr w:type="spellEnd"/>
            <w:r w:rsidRPr="0041637B">
              <w:rPr>
                <w:rFonts w:cs="Arial"/>
                <w:sz w:val="16"/>
                <w:szCs w:val="16"/>
              </w:rPr>
              <w:t xml:space="preserve"> is the case-sensitive less than operator.</w:t>
            </w:r>
          </w:p>
          <w:p w:rsidR="004E7060" w:rsidRPr="0041637B" w:rsidRDefault="004E7060" w:rsidP="004E7060">
            <w:pPr>
              <w:widowControl w:val="0"/>
              <w:rPr>
                <w:rFonts w:cs="Arial"/>
                <w:sz w:val="16"/>
                <w:szCs w:val="16"/>
              </w:rPr>
            </w:pPr>
          </w:p>
          <w:tbl>
            <w:tblPr>
              <w:tblW w:w="4622" w:type="pct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96"/>
              <w:gridCol w:w="3087"/>
            </w:tblGrid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</w:t>
                  </w:r>
                  <w:proofErr w:type="spellStart"/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lt</w:t>
                  </w:r>
                  <w:proofErr w:type="spellEnd"/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Less than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-le</w:t>
                  </w:r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Less than or equal to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</w:t>
                  </w:r>
                  <w:proofErr w:type="spellStart"/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gt</w:t>
                  </w:r>
                  <w:proofErr w:type="spellEnd"/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Greater than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</w:t>
                  </w:r>
                  <w:proofErr w:type="spellStart"/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ge</w:t>
                  </w:r>
                  <w:proofErr w:type="spellEnd"/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Greater than or equal to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</w:t>
                  </w:r>
                  <w:proofErr w:type="spellStart"/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eq</w:t>
                  </w:r>
                  <w:proofErr w:type="spellEnd"/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Equal to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-ne</w:t>
                  </w:r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Not equal to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-like</w:t>
                  </w:r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Like (uses wildcards for matching)</w:t>
                  </w:r>
                </w:p>
              </w:tc>
            </w:tr>
            <w:tr w:rsidR="004E7060" w:rsidRPr="00B914E5" w:rsidTr="0067036C">
              <w:tc>
                <w:tcPr>
                  <w:tcW w:w="1704" w:type="pct"/>
                  <w:shd w:val="clear" w:color="auto" w:fill="auto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-</w:t>
                  </w:r>
                  <w:proofErr w:type="spellStart"/>
                  <w:r w:rsidRPr="00B914E5">
                    <w:rPr>
                      <w:rFonts w:cs="Arial"/>
                      <w:b/>
                      <w:bCs/>
                      <w:sz w:val="16"/>
                      <w:szCs w:val="16"/>
                    </w:rPr>
                    <w:t>notlike</w:t>
                  </w:r>
                  <w:proofErr w:type="spellEnd"/>
                </w:p>
              </w:tc>
              <w:tc>
                <w:tcPr>
                  <w:tcW w:w="3296" w:type="pct"/>
                  <w:shd w:val="clear" w:color="auto" w:fill="FFFFFF"/>
                </w:tcPr>
                <w:p w:rsidR="004E7060" w:rsidRPr="00B914E5" w:rsidRDefault="004E7060" w:rsidP="0067036C">
                  <w:pPr>
                    <w:widowControl w:val="0"/>
                    <w:rPr>
                      <w:rFonts w:cs="Arial"/>
                      <w:sz w:val="16"/>
                      <w:szCs w:val="16"/>
                    </w:rPr>
                  </w:pPr>
                  <w:r w:rsidRPr="00B914E5">
                    <w:rPr>
                      <w:rFonts w:cs="Arial"/>
                      <w:sz w:val="16"/>
                      <w:szCs w:val="16"/>
                    </w:rPr>
                    <w:t>Not like (uses wildcards for matching)</w:t>
                  </w:r>
                </w:p>
              </w:tc>
            </w:tr>
          </w:tbl>
          <w:p w:rsidR="004E7060" w:rsidRPr="0041637B" w:rsidRDefault="004E7060" w:rsidP="004E7060">
            <w:pPr>
              <w:widowControl w:val="0"/>
              <w:rPr>
                <w:rFonts w:cs="Arial"/>
                <w:sz w:val="16"/>
                <w:szCs w:val="16"/>
              </w:rPr>
            </w:pPr>
          </w:p>
          <w:p w:rsidR="004E7060" w:rsidRPr="0041637B" w:rsidRDefault="004E7060" w:rsidP="004E7060">
            <w:pPr>
              <w:widowControl w:val="0"/>
              <w:rPr>
                <w:rFonts w:cs="Arial"/>
                <w:sz w:val="16"/>
                <w:szCs w:val="16"/>
              </w:rPr>
            </w:pPr>
          </w:p>
          <w:p w:rsidR="004E7060" w:rsidRPr="004E7060" w:rsidRDefault="004E7060" w:rsidP="004E7060"/>
        </w:tc>
      </w:tr>
    </w:tbl>
    <w:p w:rsidR="009E2D38" w:rsidRPr="009E2D38" w:rsidRDefault="009E2D38" w:rsidP="009E2D38"/>
    <w:sectPr w:rsidR="009E2D38" w:rsidRPr="009E2D38" w:rsidSect="008C1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>
    <w:nsid w:val="2946127D"/>
    <w:multiLevelType w:val="multilevel"/>
    <w:tmpl w:val="A70A9C82"/>
    <w:numStyleLink w:val="LabStepsTemplate"/>
  </w:abstractNum>
  <w:abstractNum w:abstractNumId="3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4C470FA4"/>
    <w:multiLevelType w:val="hybridMultilevel"/>
    <w:tmpl w:val="33B28030"/>
    <w:lvl w:ilvl="0" w:tplc="921834AE">
      <w:start w:val="1"/>
      <w:numFmt w:val="lowerLetter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5B44004"/>
    <w:multiLevelType w:val="multilevel"/>
    <w:tmpl w:val="7A64E8E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pStyle w:val="LabStepLevel2Numbered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76"/>
    <w:rsid w:val="00033092"/>
    <w:rsid w:val="00072445"/>
    <w:rsid w:val="0010324A"/>
    <w:rsid w:val="002C226A"/>
    <w:rsid w:val="004E7060"/>
    <w:rsid w:val="008C1476"/>
    <w:rsid w:val="009E2D38"/>
    <w:rsid w:val="00AF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6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26A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2C226A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26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26A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26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2C22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226A"/>
  </w:style>
  <w:style w:type="character" w:customStyle="1" w:styleId="Heading1Char">
    <w:name w:val="Heading 1 Char"/>
    <w:basedOn w:val="DefaultParagraphFont"/>
    <w:link w:val="Heading1"/>
    <w:uiPriority w:val="9"/>
    <w:rsid w:val="002C226A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2C226A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226A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C226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226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6A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C226A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226A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C226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C226A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2C226A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26A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2C22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26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26A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C226A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2C226A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C226A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2C226A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2C226A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2C226A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2C226A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2C226A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2C226A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26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26A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2C226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2C226A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2C22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C226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2C2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2C22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2C226A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2C226A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2C226A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2C226A"/>
    <w:pPr>
      <w:numPr>
        <w:numId w:val="1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2C226A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2C226A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2C226A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2C226A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2C226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2C226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2C226A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2C226A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2C226A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226A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2C226A"/>
    <w:rPr>
      <w:rFonts w:ascii="Arial" w:hAnsi="Arial"/>
      <w:b/>
      <w:iCs/>
      <w:sz w:val="16"/>
    </w:rPr>
  </w:style>
  <w:style w:type="character" w:customStyle="1" w:styleId="InlineCode">
    <w:name w:val="InlineCode"/>
    <w:basedOn w:val="DefaultParagraphFont"/>
    <w:uiPriority w:val="1"/>
    <w:qFormat/>
    <w:rsid w:val="002C226A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2C226A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2C226A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qFormat/>
    <w:rsid w:val="002C226A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2C226A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2C226A"/>
    <w:rPr>
      <w:b/>
    </w:rPr>
  </w:style>
  <w:style w:type="paragraph" w:customStyle="1" w:styleId="LabStepTableParagraph">
    <w:name w:val="Lab Step Table Paragraph"/>
    <w:basedOn w:val="LabStepNumbered"/>
    <w:qFormat/>
    <w:rsid w:val="002C226A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26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2C226A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2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26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26A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26A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2C2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26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2C226A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2C226A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26A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2C226A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2C226A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2C226A"/>
    <w:pPr>
      <w:spacing w:before="240"/>
    </w:pPr>
  </w:style>
  <w:style w:type="paragraph" w:customStyle="1" w:styleId="LegalHeader">
    <w:name w:val="Legal Header"/>
    <w:basedOn w:val="Normal"/>
    <w:qFormat/>
    <w:rsid w:val="002C226A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2C226A"/>
    <w:rPr>
      <w:sz w:val="18"/>
    </w:rPr>
  </w:style>
  <w:style w:type="paragraph" w:customStyle="1" w:styleId="CourseInfo">
    <w:name w:val="Course Info"/>
    <w:basedOn w:val="Normal"/>
    <w:qFormat/>
    <w:rsid w:val="002C226A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2C226A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2C226A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2C226A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2C226A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2C226A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2C226A"/>
    <w:pPr>
      <w:numPr>
        <w:numId w:val="7"/>
      </w:numPr>
    </w:pPr>
  </w:style>
  <w:style w:type="paragraph" w:customStyle="1" w:styleId="ModuleDescription">
    <w:name w:val="Module Description"/>
    <w:basedOn w:val="Normal"/>
    <w:qFormat/>
    <w:rsid w:val="002C226A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2C226A"/>
    <w:pPr>
      <w:jc w:val="center"/>
    </w:pPr>
  </w:style>
  <w:style w:type="paragraph" w:customStyle="1" w:styleId="TopicsCoveredItem">
    <w:name w:val="Topics Covered Item"/>
    <w:basedOn w:val="Normal"/>
    <w:qFormat/>
    <w:rsid w:val="002C226A"/>
    <w:pPr>
      <w:numPr>
        <w:numId w:val="9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2C226A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2C226A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2C226A"/>
    <w:pPr>
      <w:spacing w:before="0" w:after="0"/>
      <w:ind w:left="36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6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26A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uiPriority w:val="9"/>
    <w:qFormat/>
    <w:rsid w:val="002C226A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26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226A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226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2C226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C226A"/>
  </w:style>
  <w:style w:type="character" w:customStyle="1" w:styleId="Heading1Char">
    <w:name w:val="Heading 1 Char"/>
    <w:basedOn w:val="DefaultParagraphFont"/>
    <w:link w:val="Heading1"/>
    <w:uiPriority w:val="9"/>
    <w:rsid w:val="002C226A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uiPriority w:val="9"/>
    <w:rsid w:val="002C226A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226A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2C226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226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26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6A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C226A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226A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C226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C226A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2C226A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26A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1"/>
    <w:qFormat/>
    <w:rsid w:val="002C22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C226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26A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C226A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2C226A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C226A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2C226A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qFormat/>
    <w:rsid w:val="002C226A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2C226A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2C226A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2C226A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2C226A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26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26A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2C226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2C226A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2C22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C226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2C2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2C22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2C226A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2C226A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2C226A"/>
    <w:rPr>
      <w:rFonts w:ascii="Arial" w:hAnsi="Arial"/>
      <w:b/>
      <w:sz w:val="16"/>
    </w:rPr>
  </w:style>
  <w:style w:type="paragraph" w:customStyle="1" w:styleId="LabStepNumbered">
    <w:name w:val="Lab Step Numbered"/>
    <w:link w:val="LabStepNumberedChar"/>
    <w:qFormat/>
    <w:rsid w:val="002C226A"/>
    <w:pPr>
      <w:numPr>
        <w:numId w:val="11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2C226A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2C226A"/>
    <w:pPr>
      <w:numPr>
        <w:ilvl w:val="1"/>
      </w:numPr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2C226A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2C226A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2C226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2C226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2C226A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2C226A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2C226A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226A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2C226A"/>
    <w:rPr>
      <w:rFonts w:ascii="Arial" w:hAnsi="Arial"/>
      <w:b/>
      <w:iCs/>
      <w:sz w:val="16"/>
    </w:rPr>
  </w:style>
  <w:style w:type="character" w:customStyle="1" w:styleId="InlineCode">
    <w:name w:val="InlineCode"/>
    <w:basedOn w:val="DefaultParagraphFont"/>
    <w:uiPriority w:val="1"/>
    <w:qFormat/>
    <w:rsid w:val="002C226A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2C226A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2C226A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qFormat/>
    <w:rsid w:val="002C226A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2C226A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2C226A"/>
    <w:rPr>
      <w:b/>
    </w:rPr>
  </w:style>
  <w:style w:type="paragraph" w:customStyle="1" w:styleId="LabStepTableParagraph">
    <w:name w:val="Lab Step Table Paragraph"/>
    <w:basedOn w:val="LabStepNumbered"/>
    <w:qFormat/>
    <w:rsid w:val="002C226A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26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2C226A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2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26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26A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26A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2"/>
    <w:qFormat/>
    <w:rsid w:val="002C22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226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qFormat/>
    <w:rsid w:val="002C226A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2C226A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26A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qFormat/>
    <w:rsid w:val="002C226A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qFormat/>
    <w:rsid w:val="002C226A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qFormat/>
    <w:rsid w:val="002C226A"/>
    <w:pPr>
      <w:spacing w:before="240"/>
    </w:pPr>
  </w:style>
  <w:style w:type="paragraph" w:customStyle="1" w:styleId="LegalHeader">
    <w:name w:val="Legal Header"/>
    <w:basedOn w:val="Normal"/>
    <w:qFormat/>
    <w:rsid w:val="002C226A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qFormat/>
    <w:rsid w:val="002C226A"/>
    <w:rPr>
      <w:sz w:val="18"/>
    </w:rPr>
  </w:style>
  <w:style w:type="paragraph" w:customStyle="1" w:styleId="CourseInfo">
    <w:name w:val="Course Info"/>
    <w:basedOn w:val="Normal"/>
    <w:qFormat/>
    <w:rsid w:val="002C226A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2C226A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qFormat/>
    <w:rsid w:val="002C226A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rsid w:val="002C226A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qFormat/>
    <w:rsid w:val="002C226A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2C226A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2C226A"/>
    <w:pPr>
      <w:numPr>
        <w:numId w:val="7"/>
      </w:numPr>
    </w:pPr>
  </w:style>
  <w:style w:type="paragraph" w:customStyle="1" w:styleId="ModuleDescription">
    <w:name w:val="Module Description"/>
    <w:basedOn w:val="Normal"/>
    <w:qFormat/>
    <w:rsid w:val="002C226A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qFormat/>
    <w:rsid w:val="002C226A"/>
    <w:pPr>
      <w:jc w:val="center"/>
    </w:pPr>
  </w:style>
  <w:style w:type="paragraph" w:customStyle="1" w:styleId="TopicsCoveredItem">
    <w:name w:val="Topics Covered Item"/>
    <w:basedOn w:val="Normal"/>
    <w:qFormat/>
    <w:rsid w:val="002C226A"/>
    <w:pPr>
      <w:numPr>
        <w:numId w:val="9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qFormat/>
    <w:rsid w:val="002C226A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qFormat/>
    <w:rsid w:val="002C226A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qFormat/>
    <w:rsid w:val="002C226A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481193-E328-459A-9DE9-E0CD43ADAAB1}"/>
</file>

<file path=customXml/itemProps2.xml><?xml version="1.0" encoding="utf-8"?>
<ds:datastoreItem xmlns:ds="http://schemas.openxmlformats.org/officeDocument/2006/customXml" ds:itemID="{16265837-8CFE-464D-9578-4754866D8CC4}"/>
</file>

<file path=customXml/itemProps3.xml><?xml version="1.0" encoding="utf-8"?>
<ds:datastoreItem xmlns:ds="http://schemas.openxmlformats.org/officeDocument/2006/customXml" ds:itemID="{5CCEBAB1-B33A-4977-BD05-C9CEA13C824B}"/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53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2011-12-13T15:45:00Z</dcterms:created>
  <dcterms:modified xsi:type="dcterms:W3CDTF">2011-12-14T14:38:00Z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</Properties>
</file>