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1E6A" w14:textId="77777777" w:rsidR="00866DBD" w:rsidRDefault="007F2080">
      <w:pPr>
        <w:spacing w:after="640" w:line="259" w:lineRule="auto"/>
        <w:ind w:left="670" w:firstLine="0"/>
        <w:jc w:val="left"/>
      </w:pPr>
      <w:r>
        <w:rPr>
          <w:noProof/>
        </w:rPr>
        <w:drawing>
          <wp:inline distT="0" distB="0" distL="0" distR="0" wp14:anchorId="45EF7BE0" wp14:editId="0F701E7D">
            <wp:extent cx="4819597" cy="283734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597" cy="28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9203" w14:textId="77777777" w:rsidR="00866DBD" w:rsidRDefault="007F2080">
      <w:pPr>
        <w:spacing w:after="39" w:line="259" w:lineRule="auto"/>
        <w:ind w:left="0" w:right="43" w:firstLine="0"/>
        <w:jc w:val="center"/>
      </w:pPr>
      <w:r>
        <w:rPr>
          <w:rFonts w:ascii="Calibri" w:eastAsia="Calibri" w:hAnsi="Calibri" w:cs="Calibri"/>
          <w:i/>
          <w:sz w:val="41"/>
        </w:rPr>
        <w:t>University of Derby</w:t>
      </w:r>
    </w:p>
    <w:p w14:paraId="53E45E32" w14:textId="77777777" w:rsidR="00866DBD" w:rsidRDefault="007F2080">
      <w:pPr>
        <w:spacing w:after="0" w:line="345" w:lineRule="auto"/>
        <w:ind w:left="693" w:right="721" w:firstLine="0"/>
        <w:jc w:val="center"/>
      </w:pPr>
      <w:r>
        <w:rPr>
          <w:i/>
          <w:sz w:val="34"/>
        </w:rPr>
        <w:t>College of Engineering and Technology School of Electronics, Computing and Mathematics</w:t>
      </w:r>
    </w:p>
    <w:p w14:paraId="7AFE8D96" w14:textId="77777777" w:rsidR="00866DBD" w:rsidRDefault="007F2080">
      <w:pPr>
        <w:spacing w:after="447" w:line="259" w:lineRule="auto"/>
        <w:ind w:left="0" w:right="-1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4E5A48" wp14:editId="67EA50D3">
                <wp:extent cx="5759997" cy="36004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7" cy="36004"/>
                          <a:chOff x="0" y="0"/>
                          <a:chExt cx="5759997" cy="36004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5759997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7" h="36004">
                                <a:moveTo>
                                  <a:pt x="0" y="0"/>
                                </a:moveTo>
                                <a:lnTo>
                                  <a:pt x="5759997" y="0"/>
                                </a:lnTo>
                                <a:lnTo>
                                  <a:pt x="5759997" y="36004"/>
                                </a:lnTo>
                                <a:lnTo>
                                  <a:pt x="0" y="36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6" style="width:453.543pt;height:2.83499pt;mso-position-horizontal-relative:char;mso-position-vertical-relative:line" coordsize="57599,360">
                <v:shape id="Shape 806" style="position:absolute;width:57599;height:360;left:0;top:0;" coordsize="5759997,36004" path="m0,0l5759997,0l5759997,36004l0,3600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8AA323" w14:textId="77777777" w:rsidR="00866DBD" w:rsidRDefault="007F2080">
      <w:pPr>
        <w:pStyle w:val="Heading1"/>
        <w:spacing w:after="0"/>
        <w:jc w:val="center"/>
      </w:pPr>
      <w:r>
        <w:rPr>
          <w:sz w:val="50"/>
        </w:rPr>
        <w:t>5CC510 - Graphics II</w:t>
      </w:r>
    </w:p>
    <w:p w14:paraId="6BA14210" w14:textId="77777777" w:rsidR="00866DBD" w:rsidRDefault="007F2080">
      <w:pPr>
        <w:spacing w:after="224" w:line="259" w:lineRule="auto"/>
        <w:ind w:left="0" w:right="-1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2B923C" wp14:editId="5995CAA2">
                <wp:extent cx="5759997" cy="36004"/>
                <wp:effectExtent l="0" t="0" r="0" b="0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7" cy="36004"/>
                          <a:chOff x="0" y="0"/>
                          <a:chExt cx="5759997" cy="36004"/>
                        </a:xfrm>
                      </wpg:grpSpPr>
                      <wps:wsp>
                        <wps:cNvPr id="807" name="Shape 807"/>
                        <wps:cNvSpPr/>
                        <wps:spPr>
                          <a:xfrm>
                            <a:off x="0" y="0"/>
                            <a:ext cx="5759997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7" h="36004">
                                <a:moveTo>
                                  <a:pt x="0" y="0"/>
                                </a:moveTo>
                                <a:lnTo>
                                  <a:pt x="5759997" y="0"/>
                                </a:lnTo>
                                <a:lnTo>
                                  <a:pt x="5759997" y="36004"/>
                                </a:lnTo>
                                <a:lnTo>
                                  <a:pt x="0" y="36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" style="width:453.543pt;height:2.83499pt;mso-position-horizontal-relative:char;mso-position-vertical-relative:line" coordsize="57599,360">
                <v:shape id="Shape 808" style="position:absolute;width:57599;height:360;left:0;top:0;" coordsize="5759997,36004" path="m0,0l5759997,0l5759997,36004l0,3600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70638A" w14:textId="77777777" w:rsidR="00866DBD" w:rsidRDefault="007F2080">
      <w:pPr>
        <w:spacing w:after="846" w:line="259" w:lineRule="auto"/>
        <w:ind w:left="0" w:right="111" w:firstLine="0"/>
        <w:jc w:val="center"/>
      </w:pPr>
      <w:r>
        <w:rPr>
          <w:i/>
        </w:rPr>
        <w:t>Report for Graphics II - 5CC510</w:t>
      </w:r>
    </w:p>
    <w:p w14:paraId="06A76533" w14:textId="7B3FC6E7" w:rsidR="00866DBD" w:rsidRDefault="007F2080">
      <w:pPr>
        <w:spacing w:after="697" w:line="259" w:lineRule="auto"/>
        <w:ind w:left="0" w:right="104" w:firstLine="0"/>
        <w:jc w:val="center"/>
      </w:pPr>
      <w:r>
        <w:rPr>
          <w:rFonts w:ascii="Calibri" w:eastAsia="Calibri" w:hAnsi="Calibri" w:cs="Calibri"/>
          <w:sz w:val="34"/>
        </w:rPr>
        <w:t>100485878</w:t>
      </w:r>
    </w:p>
    <w:p w14:paraId="5EE2149E" w14:textId="4FF7A9E2" w:rsidR="00866DBD" w:rsidRDefault="007F2080">
      <w:pPr>
        <w:spacing w:after="0" w:line="259" w:lineRule="auto"/>
        <w:ind w:left="0" w:right="104" w:firstLine="0"/>
        <w:jc w:val="center"/>
      </w:pPr>
      <w:r>
        <w:rPr>
          <w:sz w:val="34"/>
        </w:rPr>
        <w:t>February 2020</w:t>
      </w:r>
      <w:bookmarkStart w:id="0" w:name="_GoBack"/>
      <w:bookmarkEnd w:id="0"/>
    </w:p>
    <w:p w14:paraId="223DC8FE" w14:textId="77777777" w:rsidR="00866DBD" w:rsidRDefault="007F2080">
      <w:pPr>
        <w:pStyle w:val="Heading1"/>
      </w:pPr>
      <w:r>
        <w:lastRenderedPageBreak/>
        <w:t xml:space="preserve">CHAPTER </w:t>
      </w:r>
      <w:r>
        <w:rPr>
          <w:sz w:val="50"/>
        </w:rPr>
        <w:t>1</w:t>
      </w:r>
    </w:p>
    <w:p w14:paraId="375478B6" w14:textId="77777777" w:rsidR="00866DBD" w:rsidRDefault="007F2080">
      <w:pPr>
        <w:pStyle w:val="Heading2"/>
        <w:ind w:left="-5"/>
      </w:pPr>
      <w:r>
        <w:t>Introduction</w:t>
      </w:r>
    </w:p>
    <w:p w14:paraId="3EA7C00D" w14:textId="77777777" w:rsidR="00866DBD" w:rsidRDefault="007F2080">
      <w:pPr>
        <w:spacing w:after="628"/>
        <w:ind w:left="0" w:firstLine="0"/>
      </w:pPr>
      <w:r>
        <w:t>Introduction.</w:t>
      </w:r>
    </w:p>
    <w:p w14:paraId="447F75B5" w14:textId="77777777" w:rsidR="00866DBD" w:rsidRDefault="007F2080">
      <w:pPr>
        <w:pStyle w:val="Heading3"/>
        <w:tabs>
          <w:tab w:val="center" w:pos="2540"/>
        </w:tabs>
        <w:spacing w:after="144"/>
        <w:ind w:right="0"/>
      </w:pPr>
      <w:r>
        <w:rPr>
          <w:rFonts w:ascii="Cambria" w:eastAsia="Cambria" w:hAnsi="Cambria" w:cs="Cambria"/>
        </w:rPr>
        <w:t>1.1</w:t>
      </w:r>
      <w:r>
        <w:rPr>
          <w:rFonts w:ascii="Cambria" w:eastAsia="Cambria" w:hAnsi="Cambria" w:cs="Cambria"/>
        </w:rPr>
        <w:tab/>
      </w:r>
      <w:r>
        <w:t>Your choice of API</w:t>
      </w:r>
    </w:p>
    <w:p w14:paraId="68D3896D" w14:textId="77777777" w:rsidR="00866DBD" w:rsidRDefault="007F2080">
      <w:pPr>
        <w:spacing w:after="7341"/>
        <w:ind w:left="0" w:firstLine="0"/>
      </w:pPr>
      <w:r>
        <w:t>You can use several sections to better structure your report.</w:t>
      </w:r>
    </w:p>
    <w:p w14:paraId="164C1149" w14:textId="77777777" w:rsidR="00866DBD" w:rsidRDefault="007F2080">
      <w:pPr>
        <w:spacing w:after="32" w:line="259" w:lineRule="auto"/>
        <w:ind w:left="10" w:hanging="10"/>
        <w:jc w:val="center"/>
      </w:pPr>
      <w:r>
        <w:t>1</w:t>
      </w:r>
    </w:p>
    <w:p w14:paraId="7F3FEC91" w14:textId="77777777" w:rsidR="00866DBD" w:rsidRDefault="007F2080">
      <w:pPr>
        <w:pStyle w:val="Heading2"/>
        <w:spacing w:after="591"/>
        <w:ind w:left="-5"/>
      </w:pPr>
      <w:r>
        <w:lastRenderedPageBreak/>
        <w:t>Bibliography</w:t>
      </w:r>
    </w:p>
    <w:p w14:paraId="526368B7" w14:textId="77777777" w:rsidR="00866DBD" w:rsidRDefault="007F2080">
      <w:pPr>
        <w:numPr>
          <w:ilvl w:val="0"/>
          <w:numId w:val="1"/>
        </w:numPr>
        <w:ind w:hanging="364"/>
      </w:pPr>
      <w:r>
        <w:t xml:space="preserve">Y. </w:t>
      </w:r>
      <w:proofErr w:type="spellStart"/>
      <w:r>
        <w:t>Achdou</w:t>
      </w:r>
      <w:proofErr w:type="spellEnd"/>
      <w:r>
        <w:t xml:space="preserve">, F. </w:t>
      </w:r>
      <w:proofErr w:type="spellStart"/>
      <w:r>
        <w:t>Camilli</w:t>
      </w:r>
      <w:proofErr w:type="spellEnd"/>
      <w:r>
        <w:t xml:space="preserve"> and I. </w:t>
      </w:r>
      <w:proofErr w:type="spellStart"/>
      <w:r>
        <w:t>Capuzzo-Dolcetta</w:t>
      </w:r>
      <w:proofErr w:type="spellEnd"/>
      <w:r>
        <w:t xml:space="preserve">, “Mean Field Games: Numerical Methods for the Planning Problem”, </w:t>
      </w:r>
      <w:r>
        <w:rPr>
          <w:i/>
        </w:rPr>
        <w:t>SIAM Journal of Control and Optimization</w:t>
      </w:r>
      <w:r>
        <w:t>, vol. 50</w:t>
      </w:r>
      <w:r>
        <w:t>, pp. 77-109, 2012. Available: 10.1137/100790069.</w:t>
      </w:r>
    </w:p>
    <w:p w14:paraId="4AB52001" w14:textId="77777777" w:rsidR="00866DBD" w:rsidRDefault="007F2080">
      <w:pPr>
        <w:numPr>
          <w:ilvl w:val="0"/>
          <w:numId w:val="1"/>
        </w:numPr>
        <w:ind w:hanging="364"/>
      </w:pPr>
      <w:r>
        <w:t xml:space="preserve">R. Albert, H. </w:t>
      </w:r>
      <w:proofErr w:type="spellStart"/>
      <w:r>
        <w:t>Jeong</w:t>
      </w:r>
      <w:proofErr w:type="spellEnd"/>
      <w:r>
        <w:t xml:space="preserve"> and A. </w:t>
      </w:r>
      <w:proofErr w:type="spellStart"/>
      <w:r>
        <w:t>Barab´asi</w:t>
      </w:r>
      <w:proofErr w:type="spellEnd"/>
      <w:r>
        <w:t xml:space="preserve">, “Error and attack tolerance of complex networks”, </w:t>
      </w:r>
      <w:r>
        <w:rPr>
          <w:i/>
        </w:rPr>
        <w:t>Nature</w:t>
      </w:r>
      <w:r>
        <w:t>, vol. 406, no. 6794, pp. 378-382, 2000. Available: 10.1038/35019019.</w:t>
      </w:r>
    </w:p>
    <w:p w14:paraId="219992F1" w14:textId="77777777" w:rsidR="00866DBD" w:rsidRDefault="007F2080">
      <w:pPr>
        <w:numPr>
          <w:ilvl w:val="0"/>
          <w:numId w:val="1"/>
        </w:numPr>
        <w:ind w:hanging="364"/>
      </w:pPr>
      <w:r>
        <w:t xml:space="preserve">F. </w:t>
      </w:r>
      <w:proofErr w:type="spellStart"/>
      <w:r>
        <w:t>Bagagiolo</w:t>
      </w:r>
      <w:proofErr w:type="spellEnd"/>
      <w:r>
        <w:t xml:space="preserve"> and D. </w:t>
      </w:r>
      <w:proofErr w:type="spellStart"/>
      <w:r>
        <w:t>Bauso</w:t>
      </w:r>
      <w:proofErr w:type="spellEnd"/>
      <w:r>
        <w:t>, “Mean-Field Gam</w:t>
      </w:r>
      <w:r>
        <w:t xml:space="preserve">es and Dynamic Demand Management in Power Grids”, </w:t>
      </w:r>
      <w:r>
        <w:rPr>
          <w:i/>
        </w:rPr>
        <w:t>Dynamic Games and Applications</w:t>
      </w:r>
      <w:r>
        <w:t>, vol. 4, pp. 155-176, 2014. Available: 10.1007/s13235-013-0097-4.</w:t>
      </w:r>
    </w:p>
    <w:p w14:paraId="1BA6F375" w14:textId="77777777" w:rsidR="00866DBD" w:rsidRDefault="007F2080">
      <w:pPr>
        <w:numPr>
          <w:ilvl w:val="0"/>
          <w:numId w:val="1"/>
        </w:numPr>
        <w:spacing w:after="32" w:line="329" w:lineRule="auto"/>
        <w:ind w:hanging="364"/>
      </w:pPr>
      <w:r>
        <w:t xml:space="preserve">A. </w:t>
      </w:r>
      <w:proofErr w:type="spellStart"/>
      <w:r>
        <w:t>Baraba´si</w:t>
      </w:r>
      <w:proofErr w:type="spellEnd"/>
      <w:r>
        <w:t xml:space="preserve"> and R. Albert, “Emergence of Scaling in Random Networks”, </w:t>
      </w:r>
      <w:r>
        <w:rPr>
          <w:i/>
        </w:rPr>
        <w:t>Science</w:t>
      </w:r>
      <w:r>
        <w:t>, vol. 286, no. 5439, pp. 509-5</w:t>
      </w:r>
      <w:r>
        <w:t>12, 1999. Available: 10.1126/science.286.5439.509.</w:t>
      </w:r>
    </w:p>
    <w:p w14:paraId="6ED6830D" w14:textId="77777777" w:rsidR="00866DBD" w:rsidRDefault="007F2080">
      <w:pPr>
        <w:numPr>
          <w:ilvl w:val="0"/>
          <w:numId w:val="1"/>
        </w:numPr>
        <w:ind w:hanging="364"/>
      </w:pPr>
      <w:r>
        <w:t xml:space="preserve">M. </w:t>
      </w:r>
      <w:proofErr w:type="spellStart"/>
      <w:r>
        <w:t>Bardi</w:t>
      </w:r>
      <w:proofErr w:type="spellEnd"/>
      <w:r>
        <w:t xml:space="preserve">, “Explicit Solutions of Some Linear-Quadratic Mean-Field Games”, </w:t>
      </w:r>
      <w:r>
        <w:rPr>
          <w:i/>
        </w:rPr>
        <w:t>Network and Heterogeneous Media</w:t>
      </w:r>
      <w:r>
        <w:t>, vol. 7, no. 2, pp. 243-261, 2012. Available: 10.3934/nhm.2012.7.243.</w:t>
      </w:r>
    </w:p>
    <w:p w14:paraId="366E88BA" w14:textId="77777777" w:rsidR="00866DBD" w:rsidRDefault="007F2080">
      <w:pPr>
        <w:numPr>
          <w:ilvl w:val="0"/>
          <w:numId w:val="1"/>
        </w:numPr>
        <w:ind w:hanging="364"/>
      </w:pPr>
      <w:r>
        <w:t xml:space="preserve">A. Barron and J. Plath, “The </w:t>
      </w:r>
      <w:r>
        <w:t xml:space="preserve">evolution of honey bee dance communication: a mechanistic perspective”, </w:t>
      </w:r>
      <w:r>
        <w:rPr>
          <w:i/>
        </w:rPr>
        <w:t>The Journal of Experimental Biology</w:t>
      </w:r>
      <w:r>
        <w:t>, vol. 220, no. 23, pp. 4339-4346, 2017. Available: 10.1242/jeb.142778.</w:t>
      </w:r>
    </w:p>
    <w:p w14:paraId="49801CEA" w14:textId="77777777" w:rsidR="00866DBD" w:rsidRDefault="007F2080">
      <w:pPr>
        <w:numPr>
          <w:ilvl w:val="0"/>
          <w:numId w:val="1"/>
        </w:numPr>
        <w:spacing w:after="3542"/>
        <w:ind w:hanging="364"/>
      </w:pPr>
      <w:r>
        <w:t xml:space="preserve">D. </w:t>
      </w:r>
      <w:proofErr w:type="spellStart"/>
      <w:r>
        <w:t>Bauso</w:t>
      </w:r>
      <w:proofErr w:type="spellEnd"/>
      <w:r>
        <w:t xml:space="preserve">, “Consensus via Multi-population Robust Mean-Field Games”, </w:t>
      </w:r>
      <w:r>
        <w:rPr>
          <w:i/>
        </w:rPr>
        <w:t>Systems &amp; Control Letters</w:t>
      </w:r>
      <w:r>
        <w:t>, vol. 107, pp. 76-83, 2017. Available: 10.1016/j.sysconle.2017.07.010.</w:t>
      </w:r>
    </w:p>
    <w:p w14:paraId="52E21293" w14:textId="77777777" w:rsidR="00866DBD" w:rsidRDefault="007F2080">
      <w:pPr>
        <w:spacing w:after="32" w:line="259" w:lineRule="auto"/>
        <w:ind w:left="10" w:hanging="10"/>
        <w:jc w:val="center"/>
      </w:pPr>
      <w:r>
        <w:t>2</w:t>
      </w:r>
    </w:p>
    <w:sectPr w:rsidR="00866DBD">
      <w:pgSz w:w="11906" w:h="16838"/>
      <w:pgMar w:top="1403" w:right="1488" w:bottom="1715" w:left="1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217C2"/>
    <w:multiLevelType w:val="hybridMultilevel"/>
    <w:tmpl w:val="6754574C"/>
    <w:lvl w:ilvl="0" w:tplc="80302AF8">
      <w:start w:val="1"/>
      <w:numFmt w:val="decimal"/>
      <w:lvlText w:val="[%1]"/>
      <w:lvlJc w:val="left"/>
      <w:pPr>
        <w:ind w:left="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C6DB2A">
      <w:start w:val="1"/>
      <w:numFmt w:val="lowerLetter"/>
      <w:lvlText w:val="%2"/>
      <w:lvlJc w:val="left"/>
      <w:pPr>
        <w:ind w:left="1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E5E76">
      <w:start w:val="1"/>
      <w:numFmt w:val="lowerRoman"/>
      <w:lvlText w:val="%3"/>
      <w:lvlJc w:val="left"/>
      <w:pPr>
        <w:ind w:left="19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A1812">
      <w:start w:val="1"/>
      <w:numFmt w:val="decimal"/>
      <w:lvlText w:val="%4"/>
      <w:lvlJc w:val="left"/>
      <w:pPr>
        <w:ind w:left="2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4F5FA">
      <w:start w:val="1"/>
      <w:numFmt w:val="lowerLetter"/>
      <w:lvlText w:val="%5"/>
      <w:lvlJc w:val="left"/>
      <w:pPr>
        <w:ind w:left="33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0E796">
      <w:start w:val="1"/>
      <w:numFmt w:val="lowerRoman"/>
      <w:lvlText w:val="%6"/>
      <w:lvlJc w:val="left"/>
      <w:pPr>
        <w:ind w:left="4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43AA6">
      <w:start w:val="1"/>
      <w:numFmt w:val="decimal"/>
      <w:lvlText w:val="%7"/>
      <w:lvlJc w:val="left"/>
      <w:pPr>
        <w:ind w:left="4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8A5C8">
      <w:start w:val="1"/>
      <w:numFmt w:val="lowerLetter"/>
      <w:lvlText w:val="%8"/>
      <w:lvlJc w:val="left"/>
      <w:pPr>
        <w:ind w:left="5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06DF68">
      <w:start w:val="1"/>
      <w:numFmt w:val="lowerRoman"/>
      <w:lvlText w:val="%9"/>
      <w:lvlJc w:val="left"/>
      <w:pPr>
        <w:ind w:left="6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BD"/>
    <w:rsid w:val="007F2080"/>
    <w:rsid w:val="008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106C"/>
  <w15:docId w15:val="{6C01D79A-D358-421A-9982-71616CC2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0" w:line="333" w:lineRule="auto"/>
      <w:ind w:left="374" w:hanging="374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7"/>
      <w:outlineLvl w:val="0"/>
    </w:pPr>
    <w:rPr>
      <w:rFonts w:ascii="Cambria" w:eastAsia="Cambria" w:hAnsi="Cambria" w:cs="Cambria"/>
      <w:b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9" w:line="283" w:lineRule="auto"/>
      <w:ind w:left="10" w:hanging="10"/>
      <w:outlineLvl w:val="1"/>
    </w:pPr>
    <w:rPr>
      <w:rFonts w:ascii="Cambria" w:eastAsia="Cambria" w:hAnsi="Cambria" w:cs="Cambria"/>
      <w:b/>
      <w:color w:val="000000"/>
      <w:sz w:val="5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97"/>
      <w:ind w:right="104"/>
      <w:outlineLvl w:val="2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1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6FED-6A2D-4039-AF67-BE8F0EBF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CR160120686</dc:title>
  <dc:subject>confirmationreview</dc:subject>
  <dc:creator>Leonardo Stella</dc:creator>
  <cp:keywords>semantic, bootstrapping</cp:keywords>
  <cp:lastModifiedBy>Sam Croft</cp:lastModifiedBy>
  <cp:revision>2</cp:revision>
  <dcterms:created xsi:type="dcterms:W3CDTF">2020-02-12T11:31:00Z</dcterms:created>
  <dcterms:modified xsi:type="dcterms:W3CDTF">2020-02-12T11:31:00Z</dcterms:modified>
</cp:coreProperties>
</file>