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Campaign Plan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Week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Formats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Launch teaser</w:t>
            </w:r>
          </w:p>
        </w:tc>
        <w:tc>
          <w:tcPr>
            <w:tcW w:w="3213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6"/>
              <w:gridCol w:w="1607"/>
            </w:tblGrid>
            <w:tr>
              <w:trPr/>
              <w:tc>
                <w:tcPr>
                  <w:tcW w:w="160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Reel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Story</w:t>
                  </w:r>
                </w:p>
              </w:tc>
            </w:tr>
            <w:tr>
              <w:trPr/>
              <w:tc>
                <w:tcPr>
                  <w:tcW w:w="160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Carousel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Live</w:t>
                  </w:r>
                </w:p>
              </w:tc>
            </w:tr>
          </w:tbl>
          <w:p/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Customer stories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Long post</w:t>
            </w:r>
          </w:p>
        </w:tc>
      </w:tr>
    </w:tbl>
    <w:p>
      <w:pPr>
        <w:pStyle w:val="Normal"/>
        <w:bidi w:val="0"/>
        <w:jc w:val="left"/>
        <w:rPr/>
      </w:pPr>
      <w:r>
        <w:rPr/>
        <w:t>Price partnerships on audience size, engagement, and how focused the account is.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