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left="0"/>
        <w:jc w:val="left"/>
        <w:rPr/>
      </w:pPr>
      <w:r>
        <w:rPr/>
        <w:t>季度复盘</w:t>
      </w:r>
    </w:p>
    <w:p>
      <w:pPr>
        <w:pStyle w:val="Normal"/>
        <w:bidi w:val="0"/>
        <w:jc w:val="left"/>
        <w:rPr/>
      </w:pPr>
      <w:r>
        <w:rPr/>
        <w:t>数据好的内容要拆解原因，数据差的内容也要记下来。小红书的搜索流量比推荐流量更稳定，关键词要写进正文。视频前三秒决定用户会不会继续看下去。</w:t>
      </w:r>
    </w:p>
    <w:p>
      <w:pPr>
        <w:pStyle w:val="Normal"/>
        <w:bidi w:val="0"/>
        <w:jc w:val="left"/>
        <w:rPr/>
      </w:pPr>
      <w:r>
        <w:rPr/>
        <w:t>合作报价要参考粉丝量、互动率和垂直程度三个因素。私域运营的核心是持续提供价值，而不是频繁推销。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1134" w:top="1436" w:footer="1134" w:bottom="1438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left"/>
      <w:rPr/>
    </w:pPr>
    <w:r>
      <w:rPr/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/>
    </w:pPr>
    <w:r>
      <w:rPr/>
      <w:t>内部资料 请勿外传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思源宋体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qFormat/>
    <w:pPr>
      <w:widowControl w:val="false"/>
      <w:numPr>
        <w:ilvl w:val="1"/>
        <w:numId w:val="1"/>
      </w:numPr>
      <w:bidi w:val="0"/>
      <w:outlineLvl w:val="1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qFormat/>
    <w:pPr>
      <w:widowControl w:val="false"/>
      <w:numPr>
        <w:ilvl w:val="2"/>
        <w:numId w:val="1"/>
      </w:numPr>
      <w:bidi w:val="0"/>
      <w:outlineLvl w:val="2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um">
    <w:name w:val="Num"/>
    <w:qFormat/>
  </w:style>
  <w:style w:type="numbering" w:styleId="Bul">
    <w:name w:val="Bul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LibreOffice/25.8.6.2$MacOSX_AARCH64 LibreOffice_project/b4b39682cd9868fa725bc664aff94278d315bd04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