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Research Notes</w:t>
      </w:r>
    </w:p>
    <w:p>
      <w:pPr>
        <w:pStyle w:val="Normal"/>
        <w:bidi w:val="0"/>
        <w:jc w:val="left"/>
        <w:rPr/>
      </w:pPr>
      <w:r>
        <w:rPr/>
        <w:t>Search traffic is steadier than feed traffic</w:t>
      </w:r>
      <w:r>
        <w:rPr>
          <w:rStyle w:val="FootnoteReference"/>
        </w:rPr>
        <w:footnoteReference w:id="2"/>
      </w:r>
      <w:r>
        <w:rPr/>
        <w:t>, so keywords matter</w:t>
      </w:r>
      <w:r>
        <w:rPr>
          <w:rStyle w:val="FootnoteReference"/>
        </w:rPr>
        <w:footnoteReference w:id="3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>Templates for openings and closings save more time than any tool.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Based on our own account data over six months.</w:t>
      </w:r>
    </w:p>
  </w:footnote>
  <w:footnote w:id="3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Keywords should appear in the first paragraph.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numbering" w:styleId="Num">
    <w:name w:val="Num"/>
    <w:qFormat/>
  </w:style>
  <w:style w:type="numbering" w:styleId="Bul">
    <w:name w:val="Bul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