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账号定位指南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做账号定位之前，先想清楚你能长期稳定输出什么内容。目标受众不是越多越好，而是越清楚越好。每条笔记只讲一个核心观点，标题里直接写出读者能得到的好处。</w:t>
      </w:r>
    </w:p>
    <w:p>
      <w:pPr>
        <w:pStyle w:val="Heading2"/>
        <w:bidi w:val="0"/>
        <w:ind w:hanging="0" w:left="0"/>
        <w:jc w:val="left"/>
        <w:rPr/>
      </w:pPr>
      <w:r>
        <w:rPr/>
        <w:t>一、明确目标受众</w:t>
      </w:r>
    </w:p>
    <w:p>
      <w:pPr>
        <w:pStyle w:val="Normal"/>
        <w:bidi w:val="0"/>
        <w:jc w:val="left"/>
        <w:rPr/>
      </w:pPr>
      <w:r>
        <w:rPr/>
        <w:t>复盘时先看完播率，再看互动率，最后才看涨粉数。同一个选题可以换三种角度写：经验、清单和避坑。封面图的文字不要超过十二个字，手机上要一眼看清。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1. </w:t>
      </w:r>
      <w:r>
        <w:rPr/>
        <w:t>受众画像</w:t>
      </w:r>
    </w:p>
    <w:p>
      <w:pPr>
        <w:pStyle w:val="Normal"/>
        <w:bidi w:val="0"/>
        <w:jc w:val="left"/>
        <w:rPr/>
      </w:pPr>
      <w:r>
        <w:rPr/>
        <w:t>评论区的高频问题，往往就是下一篇内容的选题。发布时间要固定，让老读者形成期待。</w:t>
      </w:r>
    </w:p>
    <w:p>
      <w:pPr>
        <w:pStyle w:val="Heading2"/>
        <w:bidi w:val="0"/>
        <w:ind w:hanging="0" w:left="0"/>
        <w:jc w:val="left"/>
        <w:rPr/>
      </w:pPr>
      <w:r>
        <w:rPr/>
        <w:t>二、确定内容方向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不要同时追五个热点，选一个和自己定位最贴近的。数据好的内容要拆解原因，数据差的内容也要记下来。小红书的搜索流量比推荐流量更稳定，关键词要写进正文。视频前三秒决定用户会不会继续看下去。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