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月度数据汇总</w:t>
      </w:r>
    </w:p>
    <w:p>
      <w:pPr>
        <w:pStyle w:val="Normal"/>
        <w:bidi w:val="0"/>
        <w:jc w:val="left"/>
        <w:rPr/>
      </w:pPr>
      <w:r>
        <w:rPr/>
        <w:t>复盘时先看完播率，再看互动率，最后才看涨粉数。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平台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发布数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播放量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互动率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小红书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3.4</w:t>
            </w:r>
            <w:r>
              <w:rPr/>
              <w:t>万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6.2%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抖音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12.8</w:t>
            </w:r>
            <w:r>
              <w:rPr/>
              <w:t>万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3.1%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视频号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1.1</w:t>
            </w:r>
            <w:r>
              <w:rPr/>
              <w:t>万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4.5%</w:t>
            </w:r>
          </w:p>
        </w:tc>
      </w:tr>
    </w:tbl>
    <w:p>
      <w:pPr>
        <w:pStyle w:val="Normal"/>
        <w:bidi w:val="0"/>
        <w:jc w:val="left"/>
        <w:rPr/>
      </w:pPr>
      <w:r>
        <w:rPr/>
        <w:t>数据好的内容要拆解原因，数据差的内容也要记下来。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思源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qFormat/>
    <w:pPr>
      <w:widowControl w:val="false"/>
      <w:numPr>
        <w:ilvl w:val="1"/>
        <w:numId w:val="1"/>
      </w:numPr>
      <w:bidi w:val="0"/>
      <w:outlineLvl w:val="1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qFormat/>
    <w:pPr>
      <w:widowControl w:val="false"/>
      <w:numPr>
        <w:ilvl w:val="2"/>
        <w:numId w:val="1"/>
      </w:numPr>
      <w:bidi w:val="0"/>
      <w:outlineLvl w:val="2"/>
    </w:pPr>
    <w:rPr>
      <w:rFonts w:ascii="Liberation Serif" w:hAnsi="Liberation Serif" w:eastAsia="思源宋体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">
    <w:name w:val="Num"/>
    <w:qFormat/>
  </w:style>
  <w:style w:type="numbering" w:styleId="Bul">
    <w:name w:val="Bul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LibreOffice/25.8.6.2$MacOSX_AARCH64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