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40"/>
      </w:pPr>
      <w:r>
        <w:rPr>
          <w:rFonts w:ascii="Times" w:hAnsi="Times" w:cs="Times"/>
          <w:sz w:val="24"/>
          <w:sz-cs w:val="24"/>
          <w:spacing w:val="0"/>
        </w:rPr>
        <w:t xml:space="preserve">Before choosing a niche, decide what you can publish consistently for a year. A clear audience beats a large one when you are starting out. Each post should carry one idea, and the headline should state the benefit. Review completion rate first, engagement second, and follower growth last.</w:t>
      </w:r>
    </w:p>
    <w:p>
      <w:pPr>
        <w:spacing w:after="240"/>
      </w:pPr>
      <w:r>
        <w:rPr>
          <w:rFonts w:ascii="Times" w:hAnsi="Times" w:cs="Times"/>
          <w:sz w:val="24"/>
          <w:sz-cs w:val="24"/>
          <w:spacing w:val="0"/>
        </w:rPr>
        <w:t xml:space="preserve">One topic can be told three ways: as a story, as a checklist, or as mistakes to avoid. Keep thumbnail text under six words so it reads on a phone. The questions people repeat in comments are your next topics. Publish on a fixed schedule so returning readers know when to come back.</w:t>
      </w:r>
    </w:p>
    <w:p>
      <w:pPr>
        <w:spacing w:after="240"/>
      </w:pPr>
      <w:r>
        <w:rPr>
          <w:rFonts w:ascii="Times" w:hAnsi="Times" w:cs="Times"/>
          <w:sz w:val="24"/>
          <w:sz-cs w:val="24"/>
          <w:spacing w:val="0"/>
        </w:rPr>
        <w:t xml:space="preserve">Do not chase five trends at once; pick the one closest to your positioning. Break down why strong posts worked, and keep notes on the weak ones too. Search traffic is steadier than feed traffic, so put keywords in the body. The first three seconds of a video decide whether people keep watching.</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