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sz w:val="24"/>
          <w:szCs w:val="24"/>
        </w:rPr>
      </w:pPr>
      <w:r w:rsidDel="00000000" w:rsidR="00000000" w:rsidRPr="00000000">
        <w:rPr>
          <w:sz w:val="24"/>
          <w:szCs w:val="24"/>
          <w:rtl w:val="0"/>
        </w:rPr>
        <w:t xml:space="preserve">Homework 2</w:t>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ab/>
        <w:t xml:space="preserve">While the idea of learning styles as we know them can be a little bogus on their own, I don’t think they’re entirely redundant to understanding how we learn and more importantly, what we are learning. For example: Reading, you probably just can’t teach a child learning to read for the first time how to do so in the form of a purely auditory learning style as they would need to see the letters and words and how to read them (visual learning) and have them practice on their own (tactile?). But, understanding those proposed types of learning on their own can help us understand our own unique ways of learning and how some things can be taught. Like with coding; learning coding for me might be a more “tactile” and “visual” experience. On the other hand, someone else might find it easier to learn through tactile and auditory instruction. But what those hypotheticals have in common is that coding and tasks like coding can’t really be taught without “tactile learning” as I feel that something like this would lean into having both the knowledge and muscle memory required. </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ab/>
        <w:t xml:space="preserve">As humans, we learn on a near constant basis, we communicate the information we have with other people on an even more constant basis and I think that how we learn isn’t from a singular school of learning for every subject in question, but rather, understanding different modes of learning for different subjects and tasks.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4">
    <w:pPr>
      <w:rPr/>
    </w:pPr>
    <w:r w:rsidDel="00000000" w:rsidR="00000000" w:rsidRPr="00000000">
      <w:rPr>
        <w:rtl w:val="0"/>
      </w:rPr>
      <w:t xml:space="preserve">Dylan Crotto</w:t>
    </w:r>
  </w:p>
  <w:p w:rsidR="00000000" w:rsidDel="00000000" w:rsidP="00000000" w:rsidRDefault="00000000" w:rsidRPr="00000000" w14:paraId="00000005">
    <w:pPr>
      <w:rPr/>
    </w:pPr>
    <w:r w:rsidDel="00000000" w:rsidR="00000000" w:rsidRPr="00000000">
      <w:rPr>
        <w:rtl w:val="0"/>
      </w:rPr>
      <w:t xml:space="preserve">9/8/24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