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B859F" w14:textId="77777777" w:rsidR="00B72B36" w:rsidRPr="00B72B36" w:rsidRDefault="00B72B36" w:rsidP="00B72B36">
      <w:pPr>
        <w:rPr>
          <w:b/>
          <w:bCs/>
          <w:lang w:val="en-US"/>
        </w:rPr>
      </w:pPr>
      <w:r w:rsidRPr="00B72B36">
        <w:rPr>
          <w:b/>
          <w:bCs/>
          <w:lang w:val="en-US"/>
        </w:rPr>
        <w:t>Clientelism and Democratic Accountability in Latin America</w:t>
      </w:r>
    </w:p>
    <w:p w14:paraId="2121E0EE" w14:textId="685CA314" w:rsidR="00B72B36" w:rsidRPr="00B72B36" w:rsidRDefault="00B72B36" w:rsidP="00B72B36">
      <w:pPr>
        <w:rPr>
          <w:b/>
          <w:bCs/>
          <w:lang w:val="en-US"/>
        </w:rPr>
      </w:pPr>
      <w:r w:rsidRPr="00B72B36">
        <w:rPr>
          <w:b/>
          <w:bCs/>
          <w:lang w:val="en-US"/>
        </w:rPr>
        <w:t>Introduction: The Persistence of Clientelism in Democratic Settings</w:t>
      </w:r>
    </w:p>
    <w:p w14:paraId="2BBEDED5" w14:textId="77777777" w:rsidR="00B72B36" w:rsidRPr="00B72B36" w:rsidRDefault="00B72B36" w:rsidP="00B72B36">
      <w:pPr>
        <w:rPr>
          <w:lang w:val="en-US"/>
        </w:rPr>
      </w:pPr>
      <w:r w:rsidRPr="00B72B36">
        <w:rPr>
          <w:lang w:val="en-US"/>
        </w:rPr>
        <w:t>In the study of Latin American politics, few phenomena reveal the tension between democratic form and authoritarian practice as clearly as clientelism. Across the region, citizens regularly participate in elections, political parties compete for power, and media coverage amplifies campaign promises. Yet beneath this appearance of democratic normalcy, the exchange of favors, goods, and access to state resources continues to shape political behavior.</w:t>
      </w:r>
    </w:p>
    <w:p w14:paraId="54775916" w14:textId="77777777" w:rsidR="00B72B36" w:rsidRPr="00B72B36" w:rsidRDefault="00B72B36" w:rsidP="00B72B36">
      <w:pPr>
        <w:rPr>
          <w:lang w:val="en-US"/>
        </w:rPr>
      </w:pPr>
      <w:r w:rsidRPr="00B72B36">
        <w:rPr>
          <w:lang w:val="en-US"/>
        </w:rPr>
        <w:t>Clientelism involves a transactional relationship between politicians and voters, in which material benefits are offered in exchange for political support. While often viewed as a relic of pre-democratic politics, clientelism has adapted to the modern democratic context. It is not merely an anomaly but an enduring component of how politics functions, especially where inequality and institutional weakness persist.</w:t>
      </w:r>
    </w:p>
    <w:p w14:paraId="01A17451" w14:textId="77777777" w:rsidR="00B72B36" w:rsidRPr="00B72B36" w:rsidRDefault="00B72B36" w:rsidP="00B72B36">
      <w:pPr>
        <w:rPr>
          <w:lang w:val="en-US"/>
        </w:rPr>
      </w:pPr>
      <w:r w:rsidRPr="00B72B36">
        <w:rPr>
          <w:lang w:val="en-US"/>
        </w:rPr>
        <w:t>The two readings for this week—</w:t>
      </w:r>
      <w:r w:rsidRPr="00B72B36">
        <w:rPr>
          <w:b/>
          <w:bCs/>
          <w:lang w:val="en-US"/>
        </w:rPr>
        <w:t>Susan Stokes (2005)</w:t>
      </w:r>
      <w:r w:rsidRPr="00B72B36">
        <w:rPr>
          <w:lang w:val="en-US"/>
        </w:rPr>
        <w:t xml:space="preserve"> and </w:t>
      </w:r>
      <w:r w:rsidRPr="00B72B36">
        <w:rPr>
          <w:b/>
          <w:bCs/>
          <w:lang w:val="en-US"/>
        </w:rPr>
        <w:t>Fergusson, Molina, and Riaño (2018)</w:t>
      </w:r>
      <w:r w:rsidRPr="00B72B36">
        <w:rPr>
          <w:lang w:val="en-US"/>
        </w:rPr>
        <w:t xml:space="preserve">—help us understand how this system operates and why it persists. Stokes’s work, </w:t>
      </w:r>
      <w:r w:rsidRPr="00B72B36">
        <w:rPr>
          <w:i/>
          <w:iCs/>
          <w:lang w:val="en-US"/>
        </w:rPr>
        <w:t>Perverse Accountability</w:t>
      </w:r>
      <w:r w:rsidRPr="00B72B36">
        <w:rPr>
          <w:lang w:val="en-US"/>
        </w:rPr>
        <w:t xml:space="preserve">, provides a theoretical and empirical explanation of how clientelist machines sustain electoral control despite the existence of the secret ballot. Fergusson and his coauthors, in </w:t>
      </w:r>
      <w:r w:rsidRPr="00B72B36">
        <w:rPr>
          <w:i/>
          <w:iCs/>
          <w:lang w:val="en-US"/>
        </w:rPr>
        <w:t>I Sell My Vote, and So What?</w:t>
      </w:r>
      <w:r w:rsidRPr="00B72B36">
        <w:rPr>
          <w:lang w:val="en-US"/>
        </w:rPr>
        <w:t>, approach the issue from a complementary angle, showing through large-scale data that clientelism remains widespread, socially accepted, and deeply embedded in everyday political life in Colombia.</w:t>
      </w:r>
    </w:p>
    <w:p w14:paraId="29F7FA4E" w14:textId="77777777" w:rsidR="00B72B36" w:rsidRPr="00B72B36" w:rsidRDefault="00B72B36" w:rsidP="00B72B36">
      <w:pPr>
        <w:rPr>
          <w:lang w:val="en-US"/>
        </w:rPr>
      </w:pPr>
      <w:r w:rsidRPr="00B72B36">
        <w:rPr>
          <w:lang w:val="en-US"/>
        </w:rPr>
        <w:t xml:space="preserve">Together, these studies illuminate how clientelism reshapes democratic accountability. Instead of citizens monitoring politicians, it is politicians—and their networks of brokers—who monitor citizens. The result is what Stokes aptly calls </w:t>
      </w:r>
      <w:r w:rsidRPr="00B72B36">
        <w:rPr>
          <w:i/>
          <w:iCs/>
          <w:lang w:val="en-US"/>
        </w:rPr>
        <w:t>perverse accountability</w:t>
      </w:r>
      <w:r w:rsidRPr="00B72B36">
        <w:rPr>
          <w:lang w:val="en-US"/>
        </w:rPr>
        <w:t>, a reversal of the democratic ideal in which elections are meant to serve as mechanisms of public control over rulers.</w:t>
      </w:r>
    </w:p>
    <w:p w14:paraId="294A42A1" w14:textId="77777777" w:rsidR="00B72B36" w:rsidRPr="00B72B36" w:rsidRDefault="00B72B36" w:rsidP="00B72B36">
      <w:r w:rsidRPr="00B72B36">
        <w:pict w14:anchorId="0B1ACF8E">
          <v:rect id="_x0000_i1049" style="width:0;height:1.5pt" o:hralign="center" o:hrstd="t" o:hr="t" fillcolor="#a0a0a0" stroked="f"/>
        </w:pict>
      </w:r>
    </w:p>
    <w:p w14:paraId="20EAD3A0" w14:textId="39DAA2A8" w:rsidR="00B72B36" w:rsidRPr="00B72B36" w:rsidRDefault="00B72B36" w:rsidP="00B72B36">
      <w:pPr>
        <w:rPr>
          <w:b/>
          <w:bCs/>
          <w:lang w:val="en-US"/>
        </w:rPr>
      </w:pPr>
      <w:r w:rsidRPr="00B72B36">
        <w:rPr>
          <w:b/>
          <w:bCs/>
          <w:lang w:val="en-US"/>
        </w:rPr>
        <w:t>Susan Stokes (2005): Perverse Accountability and the Logic of Machine Politics</w:t>
      </w:r>
    </w:p>
    <w:p w14:paraId="6BC554A3" w14:textId="77777777" w:rsidR="00B72B36" w:rsidRPr="00B72B36" w:rsidRDefault="00B72B36" w:rsidP="00B72B36">
      <w:pPr>
        <w:rPr>
          <w:lang w:val="en-US"/>
        </w:rPr>
      </w:pPr>
      <w:r w:rsidRPr="00B72B36">
        <w:rPr>
          <w:lang w:val="en-US"/>
        </w:rPr>
        <w:t>Susan Stokes begins by posing a deceptively simple question: if the vote is secret, how can political machines ensure that the voters they buy actually deliver their end of the bargain? The puzzle lies at the core of the logic of clientelism. A rational voter could easily take a handout and then vote for whichever candidate they prefer, with little risk of punishment. Yet, in practice, clientelist systems remain highly effective. Machines distribute targeted goods, and voters continue to respond with loyalty.</w:t>
      </w:r>
    </w:p>
    <w:p w14:paraId="0C4CD98E" w14:textId="77777777" w:rsidR="00B72B36" w:rsidRPr="00B72B36" w:rsidRDefault="00B72B36" w:rsidP="00B72B36">
      <w:pPr>
        <w:rPr>
          <w:lang w:val="en-US"/>
        </w:rPr>
      </w:pPr>
      <w:r w:rsidRPr="00B72B36">
        <w:rPr>
          <w:lang w:val="en-US"/>
        </w:rPr>
        <w:t xml:space="preserve">To resolve this paradox, Stokes introduces the concept of </w:t>
      </w:r>
      <w:r w:rsidRPr="00B72B36">
        <w:rPr>
          <w:i/>
          <w:iCs/>
          <w:lang w:val="en-US"/>
        </w:rPr>
        <w:t>perverse accountability</w:t>
      </w:r>
      <w:r w:rsidRPr="00B72B36">
        <w:rPr>
          <w:lang w:val="en-US"/>
        </w:rPr>
        <w:t>. In most democratic settings, accountability flows from citizens to politicians: voters evaluate governments, reward them when they perform well, and punish them when they do not. In clientelist systems, the direction of accountability is inverted. Politicians monitor citizens and condition future benefits on whether they vote “correctly.” Voters comply not out of ideological conviction but out of fear of exclusion or loss of support.</w:t>
      </w:r>
    </w:p>
    <w:p w14:paraId="7B42E0D8" w14:textId="77777777" w:rsidR="00B72B36" w:rsidRPr="00B72B36" w:rsidRDefault="00B72B36" w:rsidP="00B72B36">
      <w:pPr>
        <w:rPr>
          <w:lang w:val="en-US"/>
        </w:rPr>
      </w:pPr>
      <w:r w:rsidRPr="00B72B36">
        <w:rPr>
          <w:lang w:val="en-US"/>
        </w:rPr>
        <w:t xml:space="preserve">Stokes builds a formal model to explain this dynamic. She conceives of the relationship between machine and voter as a </w:t>
      </w:r>
      <w:r w:rsidRPr="00B72B36">
        <w:rPr>
          <w:b/>
          <w:bCs/>
          <w:lang w:val="en-US"/>
        </w:rPr>
        <w:t>repeated game</w:t>
      </w:r>
      <w:r w:rsidRPr="00B72B36">
        <w:rPr>
          <w:lang w:val="en-US"/>
        </w:rPr>
        <w:t xml:space="preserve">—an ongoing interaction that stretches </w:t>
      </w:r>
      <w:r w:rsidRPr="00B72B36">
        <w:rPr>
          <w:lang w:val="en-US"/>
        </w:rPr>
        <w:lastRenderedPageBreak/>
        <w:t>across multiple elections. In each round, the machine can choose whether to reward the voter, and the voter can choose whether to reciprocate by voting for the machine. Because both sides anticipate future interactions, cooperation becomes a rational equilibrium. The voter continues to support the machine to avoid losing benefits; the machine continues to reward the voter to maintain its network of control.</w:t>
      </w:r>
    </w:p>
    <w:p w14:paraId="4FB8AA84" w14:textId="77777777" w:rsidR="00B72B36" w:rsidRPr="00B72B36" w:rsidRDefault="00B72B36" w:rsidP="00B72B36">
      <w:pPr>
        <w:rPr>
          <w:lang w:val="en-US"/>
        </w:rPr>
      </w:pPr>
      <w:r w:rsidRPr="00B72B36">
        <w:rPr>
          <w:lang w:val="en-US"/>
        </w:rPr>
        <w:t xml:space="preserve">A critical condition for this system to function is the machine’s </w:t>
      </w:r>
      <w:r w:rsidRPr="00B72B36">
        <w:rPr>
          <w:b/>
          <w:bCs/>
          <w:lang w:val="en-US"/>
        </w:rPr>
        <w:t>capacity for monitoring</w:t>
      </w:r>
      <w:r w:rsidRPr="00B72B36">
        <w:rPr>
          <w:lang w:val="en-US"/>
        </w:rPr>
        <w:t xml:space="preserve">. Stokes demonstrates that this capacity depends less on formal electoral institutions than on the party’s deep social insertion in local communities. In Argentina, the Peronist Party exemplifies this structure. Its grassroots brokers—known as </w:t>
      </w:r>
      <w:r w:rsidRPr="00B72B36">
        <w:rPr>
          <w:i/>
          <w:iCs/>
          <w:lang w:val="en-US"/>
        </w:rPr>
        <w:t>punteros</w:t>
      </w:r>
      <w:r w:rsidRPr="00B72B36">
        <w:rPr>
          <w:lang w:val="en-US"/>
        </w:rPr>
        <w:t>—live in the same neighborhoods as the voters they mobilize. They know who attends rallies, who accepts food bags, and who speaks against the party. These personal ties allow them to infer, with reasonable accuracy, how individuals have voted, even when the ballot is technically secret.</w:t>
      </w:r>
    </w:p>
    <w:p w14:paraId="7A726117" w14:textId="77777777" w:rsidR="00B72B36" w:rsidRPr="00B72B36" w:rsidRDefault="00B72B36" w:rsidP="00B72B36">
      <w:pPr>
        <w:rPr>
          <w:lang w:val="en-US"/>
        </w:rPr>
      </w:pPr>
      <w:r w:rsidRPr="00B72B36">
        <w:rPr>
          <w:lang w:val="en-US"/>
        </w:rPr>
        <w:t xml:space="preserve">The very design of the Argentine voting system also facilitates this form of surveillance. Unlike countries that use a single, standardized ballot produced by the state, Argentina employs </w:t>
      </w:r>
      <w:r w:rsidRPr="00B72B36">
        <w:rPr>
          <w:b/>
          <w:bCs/>
          <w:lang w:val="en-US"/>
        </w:rPr>
        <w:t>party ballots</w:t>
      </w:r>
      <w:r w:rsidRPr="00B72B36">
        <w:rPr>
          <w:lang w:val="en-US"/>
        </w:rPr>
        <w:t xml:space="preserve"> that list only the candidates of a particular party. These ballots are distributed by party operatives, often just outside polling stations, and voters place them into envelopes before depositing them in the ballot box. Because voters commonly receive ballots directly from party activists and are escorted to vote, the secrecy of the ballot becomes largely symbolic.</w:t>
      </w:r>
    </w:p>
    <w:p w14:paraId="1103B914" w14:textId="77777777" w:rsidR="00B72B36" w:rsidRPr="00B72B36" w:rsidRDefault="00B72B36" w:rsidP="00B72B36">
      <w:pPr>
        <w:rPr>
          <w:lang w:val="en-US"/>
        </w:rPr>
      </w:pPr>
      <w:r w:rsidRPr="00B72B36">
        <w:rPr>
          <w:lang w:val="en-US"/>
        </w:rPr>
        <w:t>In interviews conducted by Stokes and her team, Argentine citizens often described their belief that brokers could “find out” how they voted. Even the perception of being watched was sufficient to sustain compliance. As one respondent put it, “In this town everyone knows everyone; you can’t hide your vote.” The threat of exclusion from networks of assistance—food, medicine, or access to municipal jobs—was powerful enough to ensure loyalty.</w:t>
      </w:r>
    </w:p>
    <w:p w14:paraId="56DFE258" w14:textId="77777777" w:rsidR="00B72B36" w:rsidRPr="00B72B36" w:rsidRDefault="00B72B36" w:rsidP="00B72B36">
      <w:pPr>
        <w:rPr>
          <w:lang w:val="en-US"/>
        </w:rPr>
      </w:pPr>
      <w:r w:rsidRPr="00B72B36">
        <w:rPr>
          <w:lang w:val="en-US"/>
        </w:rPr>
        <w:t>Stokes’s key contribution is thus both theoretical and empirical. She shows that political machines solve the problem of voter defection by embedding themselves in social networks that blur the line between community and surveillance. The poor, who depend most heavily on state assistance, become the easiest targets, as small benefits represent significant value to them. Clientelism, therefore, is not an irrational distortion of democracy but a rational adaptation to contexts of inequality and weak institutions. It thrives precisely where the state fails to provide universal benefits, and where citizens must rely on intermediaries to access public goods.</w:t>
      </w:r>
    </w:p>
    <w:p w14:paraId="65FB3F01" w14:textId="77777777" w:rsidR="00B72B36" w:rsidRPr="00B72B36" w:rsidRDefault="00B72B36" w:rsidP="00B72B36">
      <w:pPr>
        <w:rPr>
          <w:lang w:val="en-US"/>
        </w:rPr>
      </w:pPr>
      <w:r w:rsidRPr="00B72B36">
        <w:rPr>
          <w:lang w:val="en-US"/>
        </w:rPr>
        <w:t>The consequences are corrosive. Perverse accountability undermines democratic representation by reducing electoral competition to a set of contingent transactions. It transforms the voter from a citizen endowed with political rights into a client bound by obligations. The election ceases to be an act of collective will and becomes, instead, an exercise in negotiated loyalty.</w:t>
      </w:r>
    </w:p>
    <w:p w14:paraId="72ACFEEC" w14:textId="77777777" w:rsidR="00B72B36" w:rsidRPr="00B72B36" w:rsidRDefault="00B72B36" w:rsidP="00B72B36">
      <w:r w:rsidRPr="00B72B36">
        <w:pict w14:anchorId="1E99412C">
          <v:rect id="_x0000_i1050" style="width:0;height:1.5pt" o:hralign="center" o:hrstd="t" o:hr="t" fillcolor="#a0a0a0" stroked="f"/>
        </w:pict>
      </w:r>
    </w:p>
    <w:p w14:paraId="71BCA3B6" w14:textId="542596E5" w:rsidR="00B72B36" w:rsidRPr="00B72B36" w:rsidRDefault="00B72B36" w:rsidP="00B72B36">
      <w:pPr>
        <w:rPr>
          <w:b/>
          <w:bCs/>
          <w:lang w:val="en-US"/>
        </w:rPr>
      </w:pPr>
      <w:r w:rsidRPr="00B72B36">
        <w:rPr>
          <w:b/>
          <w:bCs/>
          <w:lang w:val="en-US"/>
        </w:rPr>
        <w:t>Fergusson, Molina &amp; Riaño (2018): The Normalization of Clientelism in Colombia</w:t>
      </w:r>
    </w:p>
    <w:p w14:paraId="6CE1603F" w14:textId="77777777" w:rsidR="00B72B36" w:rsidRPr="00B72B36" w:rsidRDefault="00B72B36" w:rsidP="00B72B36">
      <w:pPr>
        <w:rPr>
          <w:lang w:val="en-US"/>
        </w:rPr>
      </w:pPr>
      <w:r w:rsidRPr="00B72B36">
        <w:rPr>
          <w:lang w:val="en-US"/>
        </w:rPr>
        <w:t xml:space="preserve">More than a decade after Stokes’s study, Fergusson, Molina, and Riaño approached the same issue from a different vantage point. Whereas Stokes examined the mechanisms </w:t>
      </w:r>
      <w:r w:rsidRPr="00B72B36">
        <w:rPr>
          <w:lang w:val="en-US"/>
        </w:rPr>
        <w:lastRenderedPageBreak/>
        <w:t xml:space="preserve">that enable clientelism to function, these authors sought to measure its prevalence and social meaning in contemporary Colombia. Their article, </w:t>
      </w:r>
      <w:r w:rsidRPr="00B72B36">
        <w:rPr>
          <w:i/>
          <w:iCs/>
          <w:lang w:val="en-US"/>
        </w:rPr>
        <w:t>I Sell My Vote, and So What?</w:t>
      </w:r>
      <w:r w:rsidRPr="00B72B36">
        <w:rPr>
          <w:lang w:val="en-US"/>
        </w:rPr>
        <w:t>, captures the everyday normalization of clientelist exchange in a democratic society.</w:t>
      </w:r>
    </w:p>
    <w:p w14:paraId="1D3636B7" w14:textId="77777777" w:rsidR="00B72B36" w:rsidRPr="00B72B36" w:rsidRDefault="00B72B36" w:rsidP="00B72B36">
      <w:pPr>
        <w:rPr>
          <w:lang w:val="en-US"/>
        </w:rPr>
      </w:pPr>
      <w:r w:rsidRPr="00B72B36">
        <w:rPr>
          <w:lang w:val="en-US"/>
        </w:rPr>
        <w:t xml:space="preserve">The authors use data from the </w:t>
      </w:r>
      <w:r w:rsidRPr="00B72B36">
        <w:rPr>
          <w:b/>
          <w:bCs/>
          <w:lang w:val="en-US"/>
        </w:rPr>
        <w:t>Encuesta Longitudinal Colombiana (ELCA)</w:t>
      </w:r>
      <w:r w:rsidRPr="00B72B36">
        <w:rPr>
          <w:lang w:val="en-US"/>
        </w:rPr>
        <w:t xml:space="preserve">, a nationally representative survey of roughly ten thousand households. Recognizing that people may be reluctant to admit behaviors considered illegal or corrupt, they employ a </w:t>
      </w:r>
      <w:r w:rsidRPr="00B72B36">
        <w:rPr>
          <w:i/>
          <w:iCs/>
          <w:lang w:val="en-US"/>
        </w:rPr>
        <w:t>list experiment</w:t>
      </w:r>
      <w:r w:rsidRPr="00B72B36">
        <w:rPr>
          <w:lang w:val="en-US"/>
        </w:rPr>
        <w:t>—a technique designed to elicit truthful responses to sensitive questions. Respondents are randomly assigned to two groups. The control group receives a list of innocuous political experiences (such as attending a rally or watching a debate), while the treatment group receives the same list with an additional item: “receiving money or gifts from a politician in exchange for your vote.” By comparing the average number of items checked by each group, the researchers estimate the proportion of respondents who engage in vote selling.</w:t>
      </w:r>
    </w:p>
    <w:p w14:paraId="43DDDEA0" w14:textId="77777777" w:rsidR="00B72B36" w:rsidRPr="00B72B36" w:rsidRDefault="00B72B36" w:rsidP="00B72B36">
      <w:pPr>
        <w:rPr>
          <w:lang w:val="en-US"/>
        </w:rPr>
      </w:pPr>
      <w:r w:rsidRPr="00B72B36">
        <w:rPr>
          <w:lang w:val="en-US"/>
        </w:rPr>
        <w:t xml:space="preserve">The findings are revealing. Approximately </w:t>
      </w:r>
      <w:r w:rsidRPr="00B72B36">
        <w:rPr>
          <w:b/>
          <w:bCs/>
          <w:lang w:val="en-US"/>
        </w:rPr>
        <w:t>18 to 20 percent of Colombian voters</w:t>
      </w:r>
      <w:r w:rsidRPr="00B72B36">
        <w:rPr>
          <w:lang w:val="en-US"/>
        </w:rPr>
        <w:t xml:space="preserve">—nearly one in five—report having received benefits in exchange for their vote. Even more striking, the results of the indirect question closely match those obtained when the question is asked directly. In other words, there is </w:t>
      </w:r>
      <w:r w:rsidRPr="00B72B36">
        <w:rPr>
          <w:b/>
          <w:bCs/>
          <w:lang w:val="en-US"/>
        </w:rPr>
        <w:t>no significant social desirability bias</w:t>
      </w:r>
      <w:r w:rsidRPr="00B72B36">
        <w:rPr>
          <w:lang w:val="en-US"/>
        </w:rPr>
        <w:t>: Colombians are just as willing to admit selling their vote openly as they are under anonymity. This lack of hesitation indicates that clientelism has lost its stigma. It is not perceived as shameful or exceptional but as a normal, even routine, part of political life.</w:t>
      </w:r>
    </w:p>
    <w:p w14:paraId="31B2794A" w14:textId="77777777" w:rsidR="00B72B36" w:rsidRPr="00B72B36" w:rsidRDefault="00B72B36" w:rsidP="00B72B36">
      <w:pPr>
        <w:rPr>
          <w:lang w:val="en-US"/>
        </w:rPr>
      </w:pPr>
      <w:r w:rsidRPr="00B72B36">
        <w:rPr>
          <w:lang w:val="en-US"/>
        </w:rPr>
        <w:t>The study also identifies clear patterns in who participates in clientelist exchanges. The likelihood of receiving a benefit is highest among the poor, the less educated, rural residents, and those with weak political engagement. Municipalities with fragile institutions and high levels of corruption display greater concentrations of vote buying. Yet the phenomenon is not confined to marginalized sectors. It spans both urban and rural areas, suggesting that clientelism is woven into the political culture rather than limited to pockets of deprivation.</w:t>
      </w:r>
    </w:p>
    <w:p w14:paraId="26E3EB91" w14:textId="77777777" w:rsidR="00B72B36" w:rsidRPr="00B72B36" w:rsidRDefault="00B72B36" w:rsidP="00B72B36">
      <w:pPr>
        <w:rPr>
          <w:lang w:val="en-US"/>
        </w:rPr>
      </w:pPr>
      <w:r w:rsidRPr="00B72B36">
        <w:rPr>
          <w:lang w:val="en-US"/>
        </w:rPr>
        <w:t>What distinguishes the Colombian case is the degree to which clientelism is socially tolerated. When asked about their experiences, many respondents expressed no moral discomfort. The title of the article—“I Sell My Vote, and So What?”—comes from a respondent’s own words, encapsulating the pragmatic attitude that underlies this behavior. For many citizens, exchanging a vote for a small benefit is not corruption but common sense. In a context where politicians are perceived as self-serving and public goods unreliable, getting something tangible out of politics is seen as the only rational choice.</w:t>
      </w:r>
    </w:p>
    <w:p w14:paraId="10D0F1CB" w14:textId="77777777" w:rsidR="00B72B36" w:rsidRPr="00B72B36" w:rsidRDefault="00B72B36" w:rsidP="00B72B36">
      <w:pPr>
        <w:rPr>
          <w:lang w:val="en-US"/>
        </w:rPr>
      </w:pPr>
      <w:r w:rsidRPr="00B72B36">
        <w:rPr>
          <w:lang w:val="en-US"/>
        </w:rPr>
        <w:t xml:space="preserve">The authors interpret these findings as evidence of a </w:t>
      </w:r>
      <w:r w:rsidRPr="00B72B36">
        <w:rPr>
          <w:b/>
          <w:bCs/>
          <w:lang w:val="en-US"/>
        </w:rPr>
        <w:t>self-reinforcing equilibrium</w:t>
      </w:r>
      <w:r w:rsidRPr="00B72B36">
        <w:rPr>
          <w:lang w:val="en-US"/>
        </w:rPr>
        <w:t xml:space="preserve"> between weak state capacity and clientelism. Because the state fails to provide predictable and universal access to resources, citizens rely on intermediaries to obtain them. This reliance, in turn, sustains the very networks of patronage that undermine state legitimacy. The system reproduces itself through habit and necessity, rather than coercion or deception.</w:t>
      </w:r>
    </w:p>
    <w:p w14:paraId="3AD8C39A" w14:textId="77777777" w:rsidR="00B72B36" w:rsidRPr="00B72B36" w:rsidRDefault="00B72B36" w:rsidP="00B72B36">
      <w:pPr>
        <w:rPr>
          <w:lang w:val="en-US"/>
        </w:rPr>
      </w:pPr>
      <w:r w:rsidRPr="00B72B36">
        <w:rPr>
          <w:lang w:val="en-US"/>
        </w:rPr>
        <w:t xml:space="preserve">This normalization of clientelism also reflects a deeper crisis of democratic meaning. When citizens no longer view the vote as an instrument of collective accountability but as a means to secure personal gain, the moral fabric of democratic citizenship erodes. Elections may still occur, but their content changes. Instead of expressing policy </w:t>
      </w:r>
      <w:r w:rsidRPr="00B72B36">
        <w:rPr>
          <w:lang w:val="en-US"/>
        </w:rPr>
        <w:lastRenderedPageBreak/>
        <w:t>preferences or ideological commitments, voting becomes a market exchange—an act of private negotiation within a public ritual.</w:t>
      </w:r>
    </w:p>
    <w:p w14:paraId="28D4B008" w14:textId="77777777" w:rsidR="00B72B36" w:rsidRPr="00B72B36" w:rsidRDefault="00B72B36" w:rsidP="00B72B36">
      <w:r w:rsidRPr="00B72B36">
        <w:pict w14:anchorId="7865EC81">
          <v:rect id="_x0000_i1051" style="width:0;height:1.5pt" o:hralign="center" o:hrstd="t" o:hr="t" fillcolor="#a0a0a0" stroked="f"/>
        </w:pict>
      </w:r>
    </w:p>
    <w:p w14:paraId="0271E885" w14:textId="048119C9" w:rsidR="00B72B36" w:rsidRPr="00B72B36" w:rsidRDefault="00B72B36" w:rsidP="00B72B36">
      <w:pPr>
        <w:rPr>
          <w:b/>
          <w:bCs/>
          <w:lang w:val="en-US"/>
        </w:rPr>
      </w:pPr>
      <w:r w:rsidRPr="00B72B36">
        <w:rPr>
          <w:b/>
          <w:bCs/>
          <w:lang w:val="en-US"/>
        </w:rPr>
        <w:t>Comparative Insights: From Perverse Accountability to Social Normalization</w:t>
      </w:r>
    </w:p>
    <w:p w14:paraId="66F1DFF9" w14:textId="77777777" w:rsidR="00B72B36" w:rsidRPr="00B72B36" w:rsidRDefault="00B72B36" w:rsidP="00B72B36">
      <w:pPr>
        <w:rPr>
          <w:lang w:val="en-US"/>
        </w:rPr>
      </w:pPr>
      <w:r w:rsidRPr="00B72B36">
        <w:rPr>
          <w:lang w:val="en-US"/>
        </w:rPr>
        <w:t xml:space="preserve">The readings by Stokes and by Fergusson, Molina, and Riaño represent two stages of the same process. Stokes focuses on </w:t>
      </w:r>
      <w:r w:rsidRPr="00B72B36">
        <w:rPr>
          <w:b/>
          <w:bCs/>
          <w:lang w:val="en-US"/>
        </w:rPr>
        <w:t>how</w:t>
      </w:r>
      <w:r w:rsidRPr="00B72B36">
        <w:rPr>
          <w:lang w:val="en-US"/>
        </w:rPr>
        <w:t xml:space="preserve"> clientelism operates; Fergusson and his colleagues explore </w:t>
      </w:r>
      <w:r w:rsidRPr="00B72B36">
        <w:rPr>
          <w:b/>
          <w:bCs/>
          <w:lang w:val="en-US"/>
        </w:rPr>
        <w:t>how deeply it has been internalized</w:t>
      </w:r>
      <w:r w:rsidRPr="00B72B36">
        <w:rPr>
          <w:lang w:val="en-US"/>
        </w:rPr>
        <w:t>. Both reveal the capacity of political systems to adapt informal practices to formal democratic frameworks.</w:t>
      </w:r>
    </w:p>
    <w:p w14:paraId="682A535C" w14:textId="77777777" w:rsidR="00B72B36" w:rsidRPr="00B72B36" w:rsidRDefault="00B72B36" w:rsidP="00B72B36">
      <w:pPr>
        <w:rPr>
          <w:lang w:val="en-US"/>
        </w:rPr>
      </w:pPr>
      <w:r w:rsidRPr="00B72B36">
        <w:rPr>
          <w:lang w:val="en-US"/>
        </w:rPr>
        <w:t>In Stokes’s Argentina, clientelism thrives on surveillance and fear. Political machines maintain control by monitoring citizens and conditioning access to benefits. In Fergusson’s Colombia, the dynamic has evolved into a culture of acceptance. Citizens no longer need to be watched or threatened; they willingly participate because the transaction has become normalized. In both cases, the outcome is the same: accountability is reversed, and representation is eroded.</w:t>
      </w:r>
    </w:p>
    <w:p w14:paraId="3ACCE396" w14:textId="77777777" w:rsidR="00B72B36" w:rsidRPr="00B72B36" w:rsidRDefault="00B72B36" w:rsidP="00B72B36">
      <w:pPr>
        <w:rPr>
          <w:lang w:val="en-US"/>
        </w:rPr>
      </w:pPr>
      <w:r w:rsidRPr="00B72B36">
        <w:rPr>
          <w:lang w:val="en-US"/>
        </w:rPr>
        <w:t xml:space="preserve">From a theoretical standpoint, Stokes’s model of </w:t>
      </w:r>
      <w:r w:rsidRPr="00B72B36">
        <w:rPr>
          <w:i/>
          <w:iCs/>
          <w:lang w:val="en-US"/>
        </w:rPr>
        <w:t>perverse accountability</w:t>
      </w:r>
      <w:r w:rsidRPr="00B72B36">
        <w:rPr>
          <w:lang w:val="en-US"/>
        </w:rPr>
        <w:t xml:space="preserve"> explains the mechanism of control, while Fergusson’s study exposes its social and psychological consequences. When fear gives way to indifference, the result is a stable but low-quality democracy—one that functions through participation without autonomy.</w:t>
      </w:r>
    </w:p>
    <w:p w14:paraId="6143D24C" w14:textId="77777777" w:rsidR="00B72B36" w:rsidRPr="00B72B36" w:rsidRDefault="00B72B36" w:rsidP="00B72B36">
      <w:r w:rsidRPr="00B72B36">
        <w:pict w14:anchorId="792F018D">
          <v:rect id="_x0000_i1052" style="width:0;height:1.5pt" o:hralign="center" o:hrstd="t" o:hr="t" fillcolor="#a0a0a0" stroked="f"/>
        </w:pict>
      </w:r>
    </w:p>
    <w:p w14:paraId="01E7A187" w14:textId="103D0C06" w:rsidR="00B72B36" w:rsidRPr="00B72B36" w:rsidRDefault="00B72B36" w:rsidP="00B72B36">
      <w:pPr>
        <w:rPr>
          <w:b/>
          <w:bCs/>
          <w:lang w:val="en-US"/>
        </w:rPr>
      </w:pPr>
      <w:r w:rsidRPr="00B72B36">
        <w:rPr>
          <w:b/>
          <w:bCs/>
          <w:lang w:val="en-US"/>
        </w:rPr>
        <w:t>Conclusion: Clientelism, Disaffection, and the Quality of Democracy</w:t>
      </w:r>
    </w:p>
    <w:p w14:paraId="2E2C6B72" w14:textId="77777777" w:rsidR="00B72B36" w:rsidRPr="00B72B36" w:rsidRDefault="00B72B36" w:rsidP="00B72B36">
      <w:pPr>
        <w:rPr>
          <w:lang w:val="en-US"/>
        </w:rPr>
      </w:pPr>
      <w:r w:rsidRPr="00B72B36">
        <w:rPr>
          <w:lang w:val="en-US"/>
        </w:rPr>
        <w:t>The persistence of clientelism across Latin America illustrates a fundamental paradox of democratic development. Electoral competition and the secret ballot were meant to liberate citizens from dependence on elites, yet in many cases they have only transformed that dependence into subtler forms. The poor and marginalized, far from being passive victims, engage in clientelism as a rational adaptation to a context of scarcity and mistrust. Politicians, in turn, sustain these networks because they provide reliable electoral returns at low cost.</w:t>
      </w:r>
    </w:p>
    <w:p w14:paraId="7922BF1E" w14:textId="77777777" w:rsidR="00B72B36" w:rsidRPr="00B72B36" w:rsidRDefault="00B72B36" w:rsidP="00B72B36">
      <w:pPr>
        <w:rPr>
          <w:lang w:val="en-US"/>
        </w:rPr>
      </w:pPr>
      <w:r w:rsidRPr="00B72B36">
        <w:rPr>
          <w:lang w:val="en-US"/>
        </w:rPr>
        <w:t xml:space="preserve">These dynamics shed light on the broader issue of </w:t>
      </w:r>
      <w:r w:rsidRPr="00B72B36">
        <w:rPr>
          <w:b/>
          <w:bCs/>
          <w:lang w:val="en-US"/>
        </w:rPr>
        <w:t>citizen disaffection</w:t>
      </w:r>
      <w:r w:rsidRPr="00B72B36">
        <w:rPr>
          <w:lang w:val="en-US"/>
        </w:rPr>
        <w:t>, a recurring theme in our previous discussions. Disaffection in Latin America does not necessarily mean disengagement or apathy. On the contrary, many citizens remain politically active—but their engagement is mediated through informal, transactional channels. They participate in elections, but their choices are constrained by necessity and habit.</w:t>
      </w:r>
    </w:p>
    <w:p w14:paraId="450AD669" w14:textId="77777777" w:rsidR="00B72B36" w:rsidRPr="00B72B36" w:rsidRDefault="00B72B36" w:rsidP="00B72B36">
      <w:pPr>
        <w:rPr>
          <w:lang w:val="en-US"/>
        </w:rPr>
      </w:pPr>
      <w:r w:rsidRPr="00B72B36">
        <w:rPr>
          <w:lang w:val="en-US"/>
        </w:rPr>
        <w:t xml:space="preserve">Clientelism therefore represents both participation and exclusion. It includes citizens in the political process while simultaneously denying them genuine autonomy. It produces electoral stability but erodes democratic depth. The logic of </w:t>
      </w:r>
      <w:r w:rsidRPr="00B72B36">
        <w:rPr>
          <w:i/>
          <w:iCs/>
          <w:lang w:val="en-US"/>
        </w:rPr>
        <w:t>perverse accountability</w:t>
      </w:r>
      <w:r w:rsidRPr="00B72B36">
        <w:rPr>
          <w:lang w:val="en-US"/>
        </w:rPr>
        <w:t xml:space="preserve"> ensures that the poor remain politically visible yet structurally dependent.</w:t>
      </w:r>
    </w:p>
    <w:p w14:paraId="4BD0655E" w14:textId="77777777" w:rsidR="00B72B36" w:rsidRPr="00B72B36" w:rsidRDefault="00B72B36" w:rsidP="00B72B36">
      <w:pPr>
        <w:rPr>
          <w:lang w:val="en-US"/>
        </w:rPr>
      </w:pPr>
      <w:r w:rsidRPr="00B72B36">
        <w:rPr>
          <w:lang w:val="en-US"/>
        </w:rPr>
        <w:t>To confront this challenge, reforms must address the underlying inequalities that sustain clientelism. Strengthening state capacity, expanding universal access to welfare, and enhancing transparency in campaign finance are necessary but not sufficient. The deeper transformation lies in rebuilding the moral and institutional foundations of citizenship—restoring the idea that the vote is a right to be exercised freely, not a commodity to be exchanged.</w:t>
      </w:r>
    </w:p>
    <w:p w14:paraId="14CD9E38" w14:textId="77777777" w:rsidR="00B72B36" w:rsidRPr="00B72B36" w:rsidRDefault="00B72B36" w:rsidP="00B72B36">
      <w:pPr>
        <w:rPr>
          <w:lang w:val="en-US"/>
        </w:rPr>
      </w:pPr>
      <w:r w:rsidRPr="00B72B36">
        <w:rPr>
          <w:lang w:val="en-US"/>
        </w:rPr>
        <w:lastRenderedPageBreak/>
        <w:t>In the end, both readings remind us that democracy in Latin America is not merely about holding elections. It is about who controls the meaning of participation, who benefits from political engagement, and whether citizens can truly hold power to account. As long as votes are traded for favors, accountability will remain perverse, and the promise of democracy will remain incomplete.</w:t>
      </w:r>
    </w:p>
    <w:p w14:paraId="60E8DEAB" w14:textId="77777777" w:rsidR="00426908" w:rsidRPr="00B72B36" w:rsidRDefault="00426908">
      <w:pPr>
        <w:rPr>
          <w:lang w:val="en-US"/>
        </w:rPr>
      </w:pPr>
    </w:p>
    <w:sectPr w:rsidR="00426908" w:rsidRPr="00B72B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27"/>
    <w:rsid w:val="000048BA"/>
    <w:rsid w:val="00426908"/>
    <w:rsid w:val="004B3290"/>
    <w:rsid w:val="004D563B"/>
    <w:rsid w:val="00925A8D"/>
    <w:rsid w:val="00A65146"/>
    <w:rsid w:val="00AF6DDB"/>
    <w:rsid w:val="00B25527"/>
    <w:rsid w:val="00B32E78"/>
    <w:rsid w:val="00B72B36"/>
    <w:rsid w:val="00E625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A312A"/>
  <w15:chartTrackingRefBased/>
  <w15:docId w15:val="{8B823320-4FDD-4D5C-9E24-2C64B647A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5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5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55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55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55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55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55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55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55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55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55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55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55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55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55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55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55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5527"/>
    <w:rPr>
      <w:rFonts w:eastAsiaTheme="majorEastAsia" w:cstheme="majorBidi"/>
      <w:color w:val="272727" w:themeColor="text1" w:themeTint="D8"/>
    </w:rPr>
  </w:style>
  <w:style w:type="paragraph" w:styleId="Ttulo">
    <w:name w:val="Title"/>
    <w:basedOn w:val="Normal"/>
    <w:next w:val="Normal"/>
    <w:link w:val="TtuloCar"/>
    <w:uiPriority w:val="10"/>
    <w:qFormat/>
    <w:rsid w:val="00B25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55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55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55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5527"/>
    <w:pPr>
      <w:spacing w:before="160"/>
      <w:jc w:val="center"/>
    </w:pPr>
    <w:rPr>
      <w:i/>
      <w:iCs/>
      <w:color w:val="404040" w:themeColor="text1" w:themeTint="BF"/>
    </w:rPr>
  </w:style>
  <w:style w:type="character" w:customStyle="1" w:styleId="CitaCar">
    <w:name w:val="Cita Car"/>
    <w:basedOn w:val="Fuentedeprrafopredeter"/>
    <w:link w:val="Cita"/>
    <w:uiPriority w:val="29"/>
    <w:rsid w:val="00B25527"/>
    <w:rPr>
      <w:i/>
      <w:iCs/>
      <w:color w:val="404040" w:themeColor="text1" w:themeTint="BF"/>
    </w:rPr>
  </w:style>
  <w:style w:type="paragraph" w:styleId="Prrafodelista">
    <w:name w:val="List Paragraph"/>
    <w:basedOn w:val="Normal"/>
    <w:uiPriority w:val="34"/>
    <w:qFormat/>
    <w:rsid w:val="00B25527"/>
    <w:pPr>
      <w:ind w:left="720"/>
      <w:contextualSpacing/>
    </w:pPr>
  </w:style>
  <w:style w:type="character" w:styleId="nfasisintenso">
    <w:name w:val="Intense Emphasis"/>
    <w:basedOn w:val="Fuentedeprrafopredeter"/>
    <w:uiPriority w:val="21"/>
    <w:qFormat/>
    <w:rsid w:val="00B25527"/>
    <w:rPr>
      <w:i/>
      <w:iCs/>
      <w:color w:val="0F4761" w:themeColor="accent1" w:themeShade="BF"/>
    </w:rPr>
  </w:style>
  <w:style w:type="paragraph" w:styleId="Citadestacada">
    <w:name w:val="Intense Quote"/>
    <w:basedOn w:val="Normal"/>
    <w:next w:val="Normal"/>
    <w:link w:val="CitadestacadaCar"/>
    <w:uiPriority w:val="30"/>
    <w:qFormat/>
    <w:rsid w:val="00B25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5527"/>
    <w:rPr>
      <w:i/>
      <w:iCs/>
      <w:color w:val="0F4761" w:themeColor="accent1" w:themeShade="BF"/>
    </w:rPr>
  </w:style>
  <w:style w:type="character" w:styleId="Referenciaintensa">
    <w:name w:val="Intense Reference"/>
    <w:basedOn w:val="Fuentedeprrafopredeter"/>
    <w:uiPriority w:val="32"/>
    <w:qFormat/>
    <w:rsid w:val="00B255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2120</Words>
  <Characters>11662</Characters>
  <Application>Microsoft Office Word</Application>
  <DocSecurity>0</DocSecurity>
  <Lines>97</Lines>
  <Paragraphs>27</Paragraphs>
  <ScaleCrop>false</ScaleCrop>
  <Company/>
  <LinksUpToDate>false</LinksUpToDate>
  <CharactersWithSpaces>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Alberto Robelo Guzman</dc:creator>
  <cp:keywords/>
  <dc:description/>
  <cp:lastModifiedBy>Claudio Alberto Robelo Guzman</cp:lastModifiedBy>
  <cp:revision>2</cp:revision>
  <dcterms:created xsi:type="dcterms:W3CDTF">2025-10-11T05:46:00Z</dcterms:created>
  <dcterms:modified xsi:type="dcterms:W3CDTF">2025-10-11T05:50:00Z</dcterms:modified>
</cp:coreProperties>
</file>