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4CF9A" w14:textId="77777777" w:rsidR="00A04355" w:rsidRPr="00A04355" w:rsidRDefault="00A04355" w:rsidP="00A04355">
      <w:pPr>
        <w:rPr>
          <w:b/>
          <w:bCs/>
          <w:lang w:val="en-US"/>
        </w:rPr>
      </w:pPr>
      <w:r w:rsidRPr="00A04355">
        <w:rPr>
          <w:b/>
          <w:bCs/>
          <w:lang w:val="en-US"/>
        </w:rPr>
        <w:t>The Limits of Representation: Party Systems, Governance, and Citizen Disaffection in Latin America</w:t>
      </w:r>
    </w:p>
    <w:p w14:paraId="651D1192" w14:textId="491DAA71" w:rsidR="00A04355" w:rsidRPr="00A04355" w:rsidRDefault="00A04355" w:rsidP="00A04355">
      <w:pPr>
        <w:rPr>
          <w:b/>
          <w:bCs/>
          <w:lang w:val="en-US"/>
        </w:rPr>
      </w:pPr>
      <w:r w:rsidRPr="00A04355">
        <w:rPr>
          <w:b/>
          <w:bCs/>
          <w:lang w:val="en-US"/>
        </w:rPr>
        <w:t>Introduction: When Representation Falters but Democracy Persists</w:t>
      </w:r>
    </w:p>
    <w:p w14:paraId="27380AF2" w14:textId="77777777" w:rsidR="00A04355" w:rsidRPr="00A04355" w:rsidRDefault="00A04355" w:rsidP="00A04355">
      <w:pPr>
        <w:rPr>
          <w:lang w:val="en-US"/>
        </w:rPr>
      </w:pPr>
      <w:r w:rsidRPr="00A04355">
        <w:rPr>
          <w:lang w:val="en-US"/>
        </w:rPr>
        <w:t>As we reach the end of the course, it is worth pausing to reflect on the broader picture that ties together the many themes we have discussed this semester. Throughout our exploration of Latin American politics, we have encountered societies that are democratic in form, competitive in elections, and vibrant in participation, yet often deeply dissatisfied with the way democracy performs. The question is no longer whether democracy will survive, but whether it can continue to command loyalty and legitimacy among citizens who have learned to distrust its institutions.</w:t>
      </w:r>
    </w:p>
    <w:p w14:paraId="2C08B7E3" w14:textId="77777777" w:rsidR="00A04355" w:rsidRPr="00A04355" w:rsidRDefault="00A04355" w:rsidP="00A04355">
      <w:pPr>
        <w:rPr>
          <w:lang w:val="en-US"/>
        </w:rPr>
      </w:pPr>
      <w:r w:rsidRPr="00A04355">
        <w:rPr>
          <w:lang w:val="en-US"/>
        </w:rPr>
        <w:t>The cases of Brazil and Chile in 2022 offer a striking window into this paradox. Both countries entered the year with functioning democratic systems, robust electoral institutions, and recent histories of democratic stability. Yet both experienced a sharp crisis of citizen confidence—an erosion not of democracy’s rules, but of its meaning. In each case, the breakdown of political party structures and the mismatch between expectations and governance capacity pushed citizens to express their support through emotion, identity, and disillusionment rather than through institutional trust.</w:t>
      </w:r>
    </w:p>
    <w:p w14:paraId="65834E5D" w14:textId="77777777" w:rsidR="00A04355" w:rsidRPr="00A04355" w:rsidRDefault="00A04355" w:rsidP="00A04355">
      <w:pPr>
        <w:rPr>
          <w:lang w:val="en-US"/>
        </w:rPr>
      </w:pPr>
      <w:r w:rsidRPr="00A04355">
        <w:rPr>
          <w:lang w:val="en-US"/>
        </w:rPr>
        <w:t>Brazil’s election became the quintessential battle between two presidents—Lula da Silva and Jair Bolsonaro—each claiming to embody the people while bypassing traditional party intermediaries. Chile’s trajectory, meanwhile, saw the collapse of an ambitious experiment in participatory democracy, as President Gabriel Boric and the Constitutional Convention struggled to convert moral legitimacy into effective governance. Together, these cases highlight a central theme in contemporary Latin American politics: representation without mediation, participation without patience, and democracy without the reassuring presence of organized parties capable of channeling social diversity into stable governance.</w:t>
      </w:r>
    </w:p>
    <w:p w14:paraId="796229E3" w14:textId="77777777" w:rsidR="00A04355" w:rsidRPr="00A04355" w:rsidRDefault="00A04355" w:rsidP="00A04355">
      <w:r w:rsidRPr="00A04355">
        <w:pict w14:anchorId="46A9AE62">
          <v:rect id="_x0000_i1055" style="width:0;height:1.5pt" o:hralign="center" o:hrstd="t" o:hr="t" fillcolor="#a0a0a0" stroked="f"/>
        </w:pict>
      </w:r>
    </w:p>
    <w:p w14:paraId="45EDDD14" w14:textId="2DFFC8B1" w:rsidR="00A04355" w:rsidRPr="00A04355" w:rsidRDefault="00A04355" w:rsidP="00A04355">
      <w:pPr>
        <w:rPr>
          <w:b/>
          <w:bCs/>
          <w:lang w:val="en-US"/>
        </w:rPr>
      </w:pPr>
      <w:r w:rsidRPr="00A04355">
        <w:rPr>
          <w:b/>
          <w:bCs/>
          <w:lang w:val="en-US"/>
        </w:rPr>
        <w:t>Brazil 2022: Party Disintegration and the Politics of Memory</w:t>
      </w:r>
    </w:p>
    <w:p w14:paraId="51472C98" w14:textId="77777777" w:rsidR="00A04355" w:rsidRPr="00A04355" w:rsidRDefault="00A04355" w:rsidP="00A04355">
      <w:pPr>
        <w:rPr>
          <w:lang w:val="en-US"/>
        </w:rPr>
      </w:pPr>
      <w:r w:rsidRPr="00A04355">
        <w:rPr>
          <w:lang w:val="en-US"/>
        </w:rPr>
        <w:t>The Brazilian election of 2022 was in many ways a referendum on the fate of political parties in the region’s largest democracy. Since the return to civilian rule in the 1980s, Brazil’s party system had been pluralistic but relatively stable, anchored by two dominant forces: the center-left Workers’ Party (PT) and the center-right Brazilian Social Democracy Party (PSDB). That equilibrium collapsed over the past decade. Corruption scandals, economic recession, and the impeachment of Dilma Rousseff eroded faith in the traditional party elite, creating fertile ground for Jair Bolsonaro’s rise in 2018. Bolsonaro campaigned not as the representative of a party but as the embodiment of a movement—an anti-system figure who treated existing institutions as obstacles rather than instruments of representation.</w:t>
      </w:r>
    </w:p>
    <w:p w14:paraId="3286A560" w14:textId="77777777" w:rsidR="00A04355" w:rsidRPr="00A04355" w:rsidRDefault="00A04355" w:rsidP="00A04355">
      <w:pPr>
        <w:rPr>
          <w:lang w:val="en-US"/>
        </w:rPr>
      </w:pPr>
      <w:r w:rsidRPr="00A04355">
        <w:rPr>
          <w:lang w:val="en-US"/>
        </w:rPr>
        <w:t xml:space="preserve">By 2022, Bolsonaro’s disregard for formal party structures was complete. He had switched affiliations multiple times, attempted and failed to found his own organization, and ultimately joined the Liberal Party (PL) only as an electoral vehicle. His true political base lay outside the party system, in the informal coalition of evangelicals, security forces, agribusiness elites, and online communities that sustained his populist message. This </w:t>
      </w:r>
      <w:r w:rsidRPr="00A04355">
        <w:rPr>
          <w:lang w:val="en-US"/>
        </w:rPr>
        <w:lastRenderedPageBreak/>
        <w:t>coalition functioned as a substitute for a party: loyal, mobilized, and emotionally invested, but lacking the discipline and accountability that parties traditionally provide.</w:t>
      </w:r>
    </w:p>
    <w:p w14:paraId="72832BC3" w14:textId="77777777" w:rsidR="00A04355" w:rsidRPr="00A04355" w:rsidRDefault="00A04355" w:rsidP="00A04355">
      <w:pPr>
        <w:rPr>
          <w:lang w:val="en-US"/>
        </w:rPr>
      </w:pPr>
      <w:r w:rsidRPr="00A04355">
        <w:rPr>
          <w:lang w:val="en-US"/>
        </w:rPr>
        <w:t>Opposite Bolsonaro stood Luiz Inácio Lula da Silva, whose Workers’ Party remains one of the few structured, ideologically coherent parties in Latin America. The PT’s durability reflects decades of organizational investment, local networks, and a clear social identity linking the party to the working poor. Yet even Lula’s campaign demonstrated the limits of institutional mediation in a polarized environment. His appeal in 2022 was not grounded in a new programmatic vision but in the memory of better times—the “golden years” of social inclusion and economic growth during his presidency from 2003 to 2010. Lula won not because voters trusted the PT’s platform, but because they trusted his personal legacy.</w:t>
      </w:r>
    </w:p>
    <w:p w14:paraId="2D32DA84" w14:textId="77777777" w:rsidR="00A04355" w:rsidRPr="00A04355" w:rsidRDefault="00A04355" w:rsidP="00A04355">
      <w:pPr>
        <w:rPr>
          <w:lang w:val="en-US"/>
        </w:rPr>
      </w:pPr>
      <w:r w:rsidRPr="00A04355">
        <w:rPr>
          <w:lang w:val="en-US"/>
        </w:rPr>
        <w:t xml:space="preserve">This personalization of politics has profound consequences for governance. Bolsonaro’s term in office revealed the cost of a fragmented party system where the executive must bargain with a sprawling group of loosely organized legislators known as the </w:t>
      </w:r>
      <w:r w:rsidRPr="00A04355">
        <w:rPr>
          <w:i/>
          <w:iCs/>
          <w:lang w:val="en-US"/>
        </w:rPr>
        <w:t>Centrão</w:t>
      </w:r>
      <w:r w:rsidRPr="00A04355">
        <w:rPr>
          <w:lang w:val="en-US"/>
        </w:rPr>
        <w:t>. In exchange for budgetary favors and discretionary funds, these parties provided short-term support to the president, creating what analysts call a system of “pork-barrel governance.” Under such conditions, political responsibility becomes diffused and public policy incoherent. Citizens perceive the state as a marketplace of privileges rather than as a collective project, deepening cynicism about politics.</w:t>
      </w:r>
    </w:p>
    <w:p w14:paraId="12F5CB67" w14:textId="77777777" w:rsidR="00A04355" w:rsidRPr="00A04355" w:rsidRDefault="00A04355" w:rsidP="00A04355">
      <w:pPr>
        <w:rPr>
          <w:lang w:val="en-US"/>
        </w:rPr>
      </w:pPr>
      <w:r w:rsidRPr="00A04355">
        <w:rPr>
          <w:lang w:val="en-US"/>
        </w:rPr>
        <w:t>Lula’s narrow victory in 2022 thus represented more a survival of democratic competition than a renewal of democratic confidence. His success reflected the enduring emotional power of social memory—the gratitude of those who experienced upward mobility during his first presidency—rather than a revitalization of the PT as a programmatic party. The Brazilian case shows that when party systems decay, electoral democracy may persist through emotion and nostalgia, but governance becomes fragile, and legitimacy increasingly dependent on personality rather than performance.</w:t>
      </w:r>
    </w:p>
    <w:p w14:paraId="7A88F2E6" w14:textId="77777777" w:rsidR="00A04355" w:rsidRPr="00A04355" w:rsidRDefault="00A04355" w:rsidP="00A04355">
      <w:r w:rsidRPr="00A04355">
        <w:pict w14:anchorId="7693B46C">
          <v:rect id="_x0000_i1056" style="width:0;height:1.5pt" o:hralign="center" o:hrstd="t" o:hr="t" fillcolor="#a0a0a0" stroked="f"/>
        </w:pict>
      </w:r>
    </w:p>
    <w:p w14:paraId="72DB6281" w14:textId="6F0B08A8" w:rsidR="00A04355" w:rsidRPr="00A04355" w:rsidRDefault="00A04355" w:rsidP="00A04355">
      <w:pPr>
        <w:rPr>
          <w:b/>
          <w:bCs/>
          <w:lang w:val="en-US"/>
        </w:rPr>
      </w:pPr>
      <w:r w:rsidRPr="00A04355">
        <w:rPr>
          <w:b/>
          <w:bCs/>
          <w:lang w:val="en-US"/>
        </w:rPr>
        <w:t>Chile 2022: The Overload of Participation and the Hollowing of Parties</w:t>
      </w:r>
    </w:p>
    <w:p w14:paraId="655EDFEE" w14:textId="77777777" w:rsidR="00A04355" w:rsidRPr="00A04355" w:rsidRDefault="00A04355" w:rsidP="00A04355">
      <w:pPr>
        <w:rPr>
          <w:lang w:val="en-US"/>
        </w:rPr>
      </w:pPr>
      <w:r w:rsidRPr="00A04355">
        <w:rPr>
          <w:lang w:val="en-US"/>
        </w:rPr>
        <w:t xml:space="preserve">Chile’s experience in 2022 offers the mirror image of Brazil’s. Whereas Brazil suffered from too many parties with too little coherence, Chile attempted to transcend parties altogether. The social uprising of 2019 shattered the country’s image of institutional stability and triggered a constitutional process designed to rebuild democracy from the bottom up. The </w:t>
      </w:r>
      <w:r w:rsidRPr="00A04355">
        <w:rPr>
          <w:b/>
          <w:bCs/>
          <w:lang w:val="en-US"/>
        </w:rPr>
        <w:t>Constitutional Convention</w:t>
      </w:r>
      <w:r w:rsidRPr="00A04355">
        <w:rPr>
          <w:lang w:val="en-US"/>
        </w:rPr>
        <w:t xml:space="preserve"> was the most ambitious participatory experiment in the region’s recent history, with gender parity, reserved indigenous seats, and unprecedented representation for independents. The hope was that citizens, not parties, would redefine the social contract.</w:t>
      </w:r>
    </w:p>
    <w:p w14:paraId="03C18B0D" w14:textId="77777777" w:rsidR="00A04355" w:rsidRPr="00A04355" w:rsidRDefault="00A04355" w:rsidP="00A04355">
      <w:pPr>
        <w:rPr>
          <w:lang w:val="en-US"/>
        </w:rPr>
      </w:pPr>
      <w:r w:rsidRPr="00A04355">
        <w:rPr>
          <w:lang w:val="en-US"/>
        </w:rPr>
        <w:t>Initially, expectations were sky-high. The election of Gabriel Boric, a 35-year-old former student leader, seemed to confirm the generational shift. His victory symbolized the promise of a “new Chile”—egalitarian, feminist, environmentalist, and committed to replacing neoliberalism with a social state. Both Boric’s administration and the Convention drew legitimacy from their distance to the old party system that had governed Chile since the return to democracy. However, that distance soon became a liability.</w:t>
      </w:r>
    </w:p>
    <w:p w14:paraId="3300202E" w14:textId="77777777" w:rsidR="00A04355" w:rsidRPr="00A04355" w:rsidRDefault="00A04355" w:rsidP="00A04355">
      <w:pPr>
        <w:rPr>
          <w:lang w:val="en-US"/>
        </w:rPr>
      </w:pPr>
      <w:r w:rsidRPr="00A04355">
        <w:rPr>
          <w:lang w:val="en-US"/>
        </w:rPr>
        <w:t xml:space="preserve">The Convention’s fragmentation and performative style undermined its credibility. Scandals involving delegates, the prioritization of niche or symbolic issues over practical </w:t>
      </w:r>
      <w:r w:rsidRPr="00A04355">
        <w:rPr>
          <w:lang w:val="en-US"/>
        </w:rPr>
        <w:lastRenderedPageBreak/>
        <w:t>ones, and the absence of negotiation channels with conservative and centrist forces transformed the process into a spectacle of disunity. The lack of party discipline—once criticized as a source of rigidity—now revealed itself as the missing ingredient for consensus-building. When the proposed constitution was finally put to a referendum in September 2022, sixty-two percent of Chileans rejected it. For the first time in decades, the right and center found themselves united, while the left, despite its diversity, was unable to persuade the majority. The result reflected not a conservative turn per se, but a deep exhaustion with an unmediated and chaotic form of representation.</w:t>
      </w:r>
    </w:p>
    <w:p w14:paraId="26DF4FDE" w14:textId="77777777" w:rsidR="00A04355" w:rsidRPr="00A04355" w:rsidRDefault="00A04355" w:rsidP="00A04355">
      <w:pPr>
        <w:rPr>
          <w:lang w:val="en-US"/>
        </w:rPr>
      </w:pPr>
      <w:r w:rsidRPr="00A04355">
        <w:rPr>
          <w:lang w:val="en-US"/>
        </w:rPr>
        <w:t xml:space="preserve">President Boric’s first year mirrored this trajectory. His coalition, </w:t>
      </w:r>
      <w:r w:rsidRPr="00A04355">
        <w:rPr>
          <w:i/>
          <w:iCs/>
          <w:lang w:val="en-US"/>
        </w:rPr>
        <w:t>Frente Amplio</w:t>
      </w:r>
      <w:r w:rsidRPr="00A04355">
        <w:rPr>
          <w:lang w:val="en-US"/>
        </w:rPr>
        <w:t>, was a movement rather than a party in the classical sense—rooted in moral authority and social activism, but lacking bureaucratic experience. Once in office, this moral legitimacy quickly collided with the realities of governance. Young ministers made public missteps; legislative negotiations faltered; and internal coordination broke down. When the constitutional project collapsed, Boric had to seek support from the same centrist and social-democratic parties that his movement had long criticized. The government’s identity crisis—oscillating between idealism and pragmatism—eroded its popular support. By the end of the year, Boric’s approval ratings had fallen to historic lows.</w:t>
      </w:r>
    </w:p>
    <w:p w14:paraId="6007B23E" w14:textId="77777777" w:rsidR="00A04355" w:rsidRPr="00A04355" w:rsidRDefault="00A04355" w:rsidP="00A04355">
      <w:pPr>
        <w:rPr>
          <w:lang w:val="en-US"/>
        </w:rPr>
      </w:pPr>
      <w:r w:rsidRPr="00A04355">
        <w:rPr>
          <w:lang w:val="en-US"/>
        </w:rPr>
        <w:t>The Chilean experience demonstrates the limits of participatory enthusiasm when it lacks institutional grounding. While citizen engagement surged, the absence of strong parties meant that participation produced volatility rather than stability. What began as a democratic renewal turned into a cycle of disappointment. The once-revered image of Chile as a model of orderly politics was replaced by a new narrative of uncertainty and pessimism.</w:t>
      </w:r>
    </w:p>
    <w:p w14:paraId="224DD003" w14:textId="77777777" w:rsidR="00A04355" w:rsidRPr="00A04355" w:rsidRDefault="00A04355" w:rsidP="00A04355">
      <w:r w:rsidRPr="00A04355">
        <w:pict w14:anchorId="1B7D96BC">
          <v:rect id="_x0000_i1057" style="width:0;height:1.5pt" o:hralign="center" o:hrstd="t" o:hr="t" fillcolor="#a0a0a0" stroked="f"/>
        </w:pict>
      </w:r>
    </w:p>
    <w:p w14:paraId="1E31D49D" w14:textId="21F5224B" w:rsidR="00A04355" w:rsidRPr="00A04355" w:rsidRDefault="00A04355" w:rsidP="00A04355">
      <w:pPr>
        <w:rPr>
          <w:b/>
          <w:bCs/>
          <w:lang w:val="en-US"/>
        </w:rPr>
      </w:pPr>
      <w:r w:rsidRPr="00A04355">
        <w:rPr>
          <w:b/>
          <w:bCs/>
          <w:lang w:val="en-US"/>
        </w:rPr>
        <w:t>Comparing Brazil and Chile: Two Faces of the Representation Crisis</w:t>
      </w:r>
    </w:p>
    <w:p w14:paraId="78B6567C" w14:textId="77777777" w:rsidR="00A04355" w:rsidRPr="00A04355" w:rsidRDefault="00A04355" w:rsidP="00A04355">
      <w:pPr>
        <w:rPr>
          <w:lang w:val="en-US"/>
        </w:rPr>
      </w:pPr>
      <w:r w:rsidRPr="00A04355">
        <w:rPr>
          <w:lang w:val="en-US"/>
        </w:rPr>
        <w:t>Brazil and Chile reveal opposite but complementary faces of the same regional phenomenon. Brazil’s democracy is saturated with parties yet hollowed out by personalization. Chile’s democracy, in contrast, sought to escape parties and ended up losing the organizational glue that sustains collective projects. In Brazil, representation is mediated through leaders who evoke identity and nostalgia; in Chile, it is filtered through movements that overpromise and underdeliver. Both models expose the fragility of governance in the absence of durable partisan structures.</w:t>
      </w:r>
    </w:p>
    <w:p w14:paraId="0620CFE2" w14:textId="77777777" w:rsidR="00A04355" w:rsidRPr="00A04355" w:rsidRDefault="00A04355" w:rsidP="00A04355">
      <w:pPr>
        <w:rPr>
          <w:lang w:val="en-US"/>
        </w:rPr>
      </w:pPr>
      <w:r w:rsidRPr="00A04355">
        <w:rPr>
          <w:lang w:val="en-US"/>
        </w:rPr>
        <w:t>Despite these differences, the social emotions driving citizen behavior are remarkably similar. In both countries, politics has become an arena of affect rather than ideology. Brazilians vote for or against figures who embody their sense of belonging—</w:t>
      </w:r>
      <w:r w:rsidRPr="00A04355">
        <w:rPr>
          <w:i/>
          <w:iCs/>
          <w:lang w:val="en-US"/>
        </w:rPr>
        <w:t>petismo</w:t>
      </w:r>
      <w:r w:rsidRPr="00A04355">
        <w:rPr>
          <w:lang w:val="en-US"/>
        </w:rPr>
        <w:t xml:space="preserve"> versus </w:t>
      </w:r>
      <w:r w:rsidRPr="00A04355">
        <w:rPr>
          <w:i/>
          <w:iCs/>
          <w:lang w:val="en-US"/>
        </w:rPr>
        <w:t>antipetismo</w:t>
      </w:r>
      <w:r w:rsidRPr="00A04355">
        <w:rPr>
          <w:lang w:val="en-US"/>
        </w:rPr>
        <w:t xml:space="preserve">—while Chileans oscillate between hope and frustration with successive attempts to rewrite their political order. What unites these experiences is a profound sense of </w:t>
      </w:r>
      <w:r w:rsidRPr="00A04355">
        <w:rPr>
          <w:b/>
          <w:bCs/>
          <w:lang w:val="en-US"/>
        </w:rPr>
        <w:t>disconnection</w:t>
      </w:r>
      <w:r w:rsidRPr="00A04355">
        <w:rPr>
          <w:lang w:val="en-US"/>
        </w:rPr>
        <w:t xml:space="preserve"> between citizens and institutions. The traditional vehicles of representation—parties, unions, and civic organizations—no longer serve as credible intermediaries. Citizens still participate, but often in episodic, reactive, or moralized ways.</w:t>
      </w:r>
    </w:p>
    <w:p w14:paraId="33D3B5E4" w14:textId="77777777" w:rsidR="00A04355" w:rsidRPr="00A04355" w:rsidRDefault="00A04355" w:rsidP="00A04355">
      <w:pPr>
        <w:rPr>
          <w:lang w:val="en-US"/>
        </w:rPr>
      </w:pPr>
      <w:r w:rsidRPr="00A04355">
        <w:rPr>
          <w:lang w:val="en-US"/>
        </w:rPr>
        <w:t xml:space="preserve">Governance, in turn, has adapted to this disconnection. Presidents govern through short-term bargains, media appeals, and symbolic gestures rather than through stable legislative coalitions. The state becomes more responsive to emotion than to expertise. </w:t>
      </w:r>
      <w:r w:rsidRPr="00A04355">
        <w:rPr>
          <w:lang w:val="en-US"/>
        </w:rPr>
        <w:lastRenderedPageBreak/>
        <w:t>Public confidence erodes not because people reject democracy as a principle, but because they no longer believe that democratic institutions can deliver order, competence, and fairness. Both Brazil and Chile thus represent what we might call “thin democracies”: systems that maintain procedural legitimacy but struggle to convert it into substantive trust.</w:t>
      </w:r>
    </w:p>
    <w:p w14:paraId="5BF5CCC9" w14:textId="77777777" w:rsidR="00A04355" w:rsidRPr="00A04355" w:rsidRDefault="00A04355" w:rsidP="00A04355">
      <w:r w:rsidRPr="00A04355">
        <w:pict w14:anchorId="3C0C7BBF">
          <v:rect id="_x0000_i1058" style="width:0;height:1.5pt" o:hralign="center" o:hrstd="t" o:hr="t" fillcolor="#a0a0a0" stroked="f"/>
        </w:pict>
      </w:r>
    </w:p>
    <w:p w14:paraId="7FBE1681" w14:textId="739F8E99" w:rsidR="00A04355" w:rsidRPr="00A04355" w:rsidRDefault="00A04355" w:rsidP="00A04355">
      <w:pPr>
        <w:rPr>
          <w:b/>
          <w:bCs/>
          <w:lang w:val="en-US"/>
        </w:rPr>
      </w:pPr>
      <w:r w:rsidRPr="00A04355">
        <w:rPr>
          <w:b/>
          <w:bCs/>
          <w:lang w:val="en-US"/>
        </w:rPr>
        <w:t>Theoretical Implications: From Representation to Governance</w:t>
      </w:r>
    </w:p>
    <w:p w14:paraId="3A724AC0" w14:textId="77777777" w:rsidR="00A04355" w:rsidRPr="00A04355" w:rsidRDefault="00A04355" w:rsidP="00A04355">
      <w:pPr>
        <w:rPr>
          <w:lang w:val="en-US"/>
        </w:rPr>
      </w:pPr>
      <w:r w:rsidRPr="00A04355">
        <w:rPr>
          <w:lang w:val="en-US"/>
        </w:rPr>
        <w:t>Throughout this course, we have discussed how Latin American democracies oscillate between inclusion and frustration, enthusiasm and fatigue. The patterns observed in Brazil and Chile connect directly to the theories we encountered earlier in the semester.</w:t>
      </w:r>
    </w:p>
    <w:p w14:paraId="4DAA7334" w14:textId="77777777" w:rsidR="00A04355" w:rsidRPr="00A04355" w:rsidRDefault="00A04355" w:rsidP="00A04355">
      <w:pPr>
        <w:rPr>
          <w:lang w:val="en-US"/>
        </w:rPr>
      </w:pPr>
      <w:r w:rsidRPr="00A04355">
        <w:rPr>
          <w:lang w:val="en-US"/>
        </w:rPr>
        <w:t xml:space="preserve">The first is </w:t>
      </w:r>
      <w:r w:rsidRPr="00A04355">
        <w:rPr>
          <w:b/>
          <w:bCs/>
          <w:lang w:val="en-US"/>
        </w:rPr>
        <w:t>citizen disaffection</w:t>
      </w:r>
      <w:r w:rsidRPr="00A04355">
        <w:rPr>
          <w:lang w:val="en-US"/>
        </w:rPr>
        <w:t>, understood as the widening gap between democratic expectations and institutional performance. When parties fail to aggregate interests or provide clear accountability, citizens turn their loyalty away from institutions and toward personalities or causes. This creates what political scientists describe as “delegative democracy,” where presidents claim direct representation of the people and dismiss the need for intermediaries. Both Bolsonaro and Boric operated within this logic, though with opposite temperaments—one authoritarian and reactionary, the other progressive and moralistic.</w:t>
      </w:r>
    </w:p>
    <w:p w14:paraId="1F12685C" w14:textId="77777777" w:rsidR="00A04355" w:rsidRPr="00A04355" w:rsidRDefault="00A04355" w:rsidP="00A04355">
      <w:pPr>
        <w:rPr>
          <w:lang w:val="en-US"/>
        </w:rPr>
      </w:pPr>
      <w:r w:rsidRPr="00A04355">
        <w:rPr>
          <w:lang w:val="en-US"/>
        </w:rPr>
        <w:t xml:space="preserve">The second theoretical lens is </w:t>
      </w:r>
      <w:r w:rsidRPr="00A04355">
        <w:rPr>
          <w:b/>
          <w:bCs/>
          <w:lang w:val="en-US"/>
        </w:rPr>
        <w:t>affective polarization</w:t>
      </w:r>
      <w:r w:rsidRPr="00A04355">
        <w:rPr>
          <w:lang w:val="en-US"/>
        </w:rPr>
        <w:t>, the emotional entrenchment of political identities that substitutes moral judgment for policy debate. In Brazil, this has produced a society divided between two moral camps, each convinced that the other threatens the nation’s survival. In Chile, polarization is less symmetrical but equally corrosive, as the moral fervor of transformation encounters the pragmatism of everyday governance.</w:t>
      </w:r>
    </w:p>
    <w:p w14:paraId="203A5C6D" w14:textId="77777777" w:rsidR="00A04355" w:rsidRPr="00A04355" w:rsidRDefault="00A04355" w:rsidP="00A04355">
      <w:pPr>
        <w:rPr>
          <w:lang w:val="en-US"/>
        </w:rPr>
      </w:pPr>
      <w:r w:rsidRPr="00A04355">
        <w:rPr>
          <w:lang w:val="en-US"/>
        </w:rPr>
        <w:t xml:space="preserve">Finally, these dynamics feed into a broader </w:t>
      </w:r>
      <w:r w:rsidRPr="00A04355">
        <w:rPr>
          <w:b/>
          <w:bCs/>
          <w:lang w:val="en-US"/>
        </w:rPr>
        <w:t>crisis of governance</w:t>
      </w:r>
      <w:r w:rsidRPr="00A04355">
        <w:rPr>
          <w:lang w:val="en-US"/>
        </w:rPr>
        <w:t>. Institutions built to mediate conflict and plan for the long term find themselves paralyzed by short-term passions. Public bureaucracies are distrusted; policy reform becomes erratic; and presidents are trapped between activist bases demanding purity and skeptical citizens demanding order. This tension defines the boundaries of citizen support in contemporary Latin America: participation remains robust, but patience has worn thin.</w:t>
      </w:r>
    </w:p>
    <w:p w14:paraId="79F8949D" w14:textId="77777777" w:rsidR="00A04355" w:rsidRPr="00A04355" w:rsidRDefault="00A04355" w:rsidP="00A04355">
      <w:r w:rsidRPr="00A04355">
        <w:pict w14:anchorId="45F412DF">
          <v:rect id="_x0000_i1059" style="width:0;height:1.5pt" o:hralign="center" o:hrstd="t" o:hr="t" fillcolor="#a0a0a0" stroked="f"/>
        </w:pict>
      </w:r>
    </w:p>
    <w:p w14:paraId="506A5521" w14:textId="4D286E3A" w:rsidR="00A04355" w:rsidRPr="00A04355" w:rsidRDefault="00A04355" w:rsidP="00A04355">
      <w:pPr>
        <w:rPr>
          <w:b/>
          <w:bCs/>
          <w:lang w:val="en-US"/>
        </w:rPr>
      </w:pPr>
      <w:r w:rsidRPr="00A04355">
        <w:rPr>
          <w:b/>
          <w:bCs/>
          <w:lang w:val="en-US"/>
        </w:rPr>
        <w:t>Conclusion: The Future of Democratic Mediation</w:t>
      </w:r>
    </w:p>
    <w:p w14:paraId="1A50A3D7" w14:textId="77777777" w:rsidR="00A04355" w:rsidRPr="00A04355" w:rsidRDefault="00A04355" w:rsidP="00A04355">
      <w:pPr>
        <w:rPr>
          <w:lang w:val="en-US"/>
        </w:rPr>
      </w:pPr>
      <w:r w:rsidRPr="00A04355">
        <w:rPr>
          <w:lang w:val="en-US"/>
        </w:rPr>
        <w:t>The story of Latin American democracy in the early twenty-first century is not one of collapse, but of exhaustion. The region has largely avoided the outright breakdowns that characterized earlier decades, yet it faces a quieter and more insidious challenge: the erosion of representation. Citizens remain politically active, but they no longer trust the institutions that were meant to translate their preferences into policy. Elections continue to decide who governs, but they no longer decide how.</w:t>
      </w:r>
    </w:p>
    <w:p w14:paraId="22AA2235" w14:textId="77777777" w:rsidR="00A04355" w:rsidRPr="00A04355" w:rsidRDefault="00A04355" w:rsidP="00A04355">
      <w:pPr>
        <w:rPr>
          <w:lang w:val="en-US"/>
        </w:rPr>
      </w:pPr>
      <w:r w:rsidRPr="00A04355">
        <w:rPr>
          <w:lang w:val="en-US"/>
        </w:rPr>
        <w:t xml:space="preserve">Rebuilding the legitimacy of democracy requires more than charismatic leaders or participatory innovations. It demands a renewal of the </w:t>
      </w:r>
      <w:r w:rsidRPr="00A04355">
        <w:rPr>
          <w:b/>
          <w:bCs/>
          <w:lang w:val="en-US"/>
        </w:rPr>
        <w:t>infrastructure of mediation</w:t>
      </w:r>
      <w:r w:rsidRPr="00A04355">
        <w:rPr>
          <w:lang w:val="en-US"/>
        </w:rPr>
        <w:t xml:space="preserve">—political parties capable of connecting social groups to the state, aggregating interests, and transforming moral passion into pragmatic policy. Parties, in other words, remain </w:t>
      </w:r>
      <w:r w:rsidRPr="00A04355">
        <w:rPr>
          <w:lang w:val="en-US"/>
        </w:rPr>
        <w:lastRenderedPageBreak/>
        <w:t>indispensable not because they are perfect, but because they are the only institutions designed to balance ideals with the slow realities of governance.</w:t>
      </w:r>
    </w:p>
    <w:p w14:paraId="73EF2072" w14:textId="77777777" w:rsidR="00A04355" w:rsidRPr="00A04355" w:rsidRDefault="00A04355" w:rsidP="00A04355">
      <w:pPr>
        <w:rPr>
          <w:lang w:val="en-US"/>
        </w:rPr>
      </w:pPr>
      <w:r w:rsidRPr="00A04355">
        <w:rPr>
          <w:lang w:val="en-US"/>
        </w:rPr>
        <w:t>As we conclude this course, it is essential to recognize that Latin America’s democratic story is still being written. The region’s citizens have not turned their backs on democracy; they continue to demand dignity, justice, and representation. What they have lost is faith in the intermediaries that make democracy work. The challenge ahead—both for scholars and for political actors—is to understand how democratic systems can recover that trust, how governance can become once again a collective endeavor rather than a personal struggle, and how political institutions can rebuild the fragile bridge between citizen expectations and democratic performance.</w:t>
      </w:r>
    </w:p>
    <w:p w14:paraId="37BCA369" w14:textId="77777777" w:rsidR="00A04355" w:rsidRPr="00A04355" w:rsidRDefault="00A04355" w:rsidP="00A04355">
      <w:pPr>
        <w:rPr>
          <w:lang w:val="en-US"/>
        </w:rPr>
      </w:pPr>
      <w:r w:rsidRPr="00A04355">
        <w:rPr>
          <w:lang w:val="en-US"/>
        </w:rPr>
        <w:t>Democracy in Latin America endures, but its endurance depends on restoring the link between representation and responsibility. The lesson of Brazil and Chile is that neither populist passion nor participatory enthusiasm can substitute for strong, credible parties and effective governance. Without them, democracy survives as a shell—alive in form, but hollow in substance.</w:t>
      </w:r>
    </w:p>
    <w:p w14:paraId="0BD5278A" w14:textId="77777777" w:rsidR="00426908" w:rsidRPr="00A04355" w:rsidRDefault="00426908">
      <w:pPr>
        <w:rPr>
          <w:lang w:val="en-US"/>
        </w:rPr>
      </w:pPr>
    </w:p>
    <w:sectPr w:rsidR="00426908" w:rsidRPr="00A0435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C0A"/>
    <w:rsid w:val="000048BA"/>
    <w:rsid w:val="00426908"/>
    <w:rsid w:val="004B3290"/>
    <w:rsid w:val="004D563B"/>
    <w:rsid w:val="005A2C0A"/>
    <w:rsid w:val="00925A8D"/>
    <w:rsid w:val="00A04355"/>
    <w:rsid w:val="00A65146"/>
    <w:rsid w:val="00AF6DDB"/>
    <w:rsid w:val="00E62581"/>
    <w:rsid w:val="00F428A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B9AD6D-6AC7-4DEA-90A0-98138AD63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2C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A2C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2C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2C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2C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2C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2C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2C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2C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2C0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A2C0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A2C0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2C0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2C0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2C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2C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2C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2C0A"/>
    <w:rPr>
      <w:rFonts w:eastAsiaTheme="majorEastAsia" w:cstheme="majorBidi"/>
      <w:color w:val="272727" w:themeColor="text1" w:themeTint="D8"/>
    </w:rPr>
  </w:style>
  <w:style w:type="paragraph" w:styleId="Ttulo">
    <w:name w:val="Title"/>
    <w:basedOn w:val="Normal"/>
    <w:next w:val="Normal"/>
    <w:link w:val="TtuloCar"/>
    <w:uiPriority w:val="10"/>
    <w:qFormat/>
    <w:rsid w:val="005A2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2C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2C0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2C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2C0A"/>
    <w:pPr>
      <w:spacing w:before="160"/>
      <w:jc w:val="center"/>
    </w:pPr>
    <w:rPr>
      <w:i/>
      <w:iCs/>
      <w:color w:val="404040" w:themeColor="text1" w:themeTint="BF"/>
    </w:rPr>
  </w:style>
  <w:style w:type="character" w:customStyle="1" w:styleId="CitaCar">
    <w:name w:val="Cita Car"/>
    <w:basedOn w:val="Fuentedeprrafopredeter"/>
    <w:link w:val="Cita"/>
    <w:uiPriority w:val="29"/>
    <w:rsid w:val="005A2C0A"/>
    <w:rPr>
      <w:i/>
      <w:iCs/>
      <w:color w:val="404040" w:themeColor="text1" w:themeTint="BF"/>
    </w:rPr>
  </w:style>
  <w:style w:type="paragraph" w:styleId="Prrafodelista">
    <w:name w:val="List Paragraph"/>
    <w:basedOn w:val="Normal"/>
    <w:uiPriority w:val="34"/>
    <w:qFormat/>
    <w:rsid w:val="005A2C0A"/>
    <w:pPr>
      <w:ind w:left="720"/>
      <w:contextualSpacing/>
    </w:pPr>
  </w:style>
  <w:style w:type="character" w:styleId="nfasisintenso">
    <w:name w:val="Intense Emphasis"/>
    <w:basedOn w:val="Fuentedeprrafopredeter"/>
    <w:uiPriority w:val="21"/>
    <w:qFormat/>
    <w:rsid w:val="005A2C0A"/>
    <w:rPr>
      <w:i/>
      <w:iCs/>
      <w:color w:val="0F4761" w:themeColor="accent1" w:themeShade="BF"/>
    </w:rPr>
  </w:style>
  <w:style w:type="paragraph" w:styleId="Citadestacada">
    <w:name w:val="Intense Quote"/>
    <w:basedOn w:val="Normal"/>
    <w:next w:val="Normal"/>
    <w:link w:val="CitadestacadaCar"/>
    <w:uiPriority w:val="30"/>
    <w:qFormat/>
    <w:rsid w:val="005A2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2C0A"/>
    <w:rPr>
      <w:i/>
      <w:iCs/>
      <w:color w:val="0F4761" w:themeColor="accent1" w:themeShade="BF"/>
    </w:rPr>
  </w:style>
  <w:style w:type="character" w:styleId="Referenciaintensa">
    <w:name w:val="Intense Reference"/>
    <w:basedOn w:val="Fuentedeprrafopredeter"/>
    <w:uiPriority w:val="32"/>
    <w:qFormat/>
    <w:rsid w:val="005A2C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2263</Words>
  <Characters>12447</Characters>
  <Application>Microsoft Office Word</Application>
  <DocSecurity>0</DocSecurity>
  <Lines>103</Lines>
  <Paragraphs>29</Paragraphs>
  <ScaleCrop>false</ScaleCrop>
  <Company/>
  <LinksUpToDate>false</LinksUpToDate>
  <CharactersWithSpaces>14681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Alberto Robelo Guzman</dc:creator>
  <cp:keywords/>
  <dc:description/>
  <cp:lastModifiedBy>Claudio Alberto Robelo Guzman</cp:lastModifiedBy>
  <cp:revision>2</cp:revision>
  <dcterms:created xsi:type="dcterms:W3CDTF">2025-10-11T05:59:00Z</dcterms:created>
  <dcterms:modified xsi:type="dcterms:W3CDTF">2025-10-11T06:02:00Z</dcterms:modified>
</cp:coreProperties>
</file>