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568E" w14:textId="77777777" w:rsidR="00783A83" w:rsidRPr="00783A83" w:rsidRDefault="00783A83" w:rsidP="00783A83">
      <w:pPr>
        <w:rPr>
          <w:b/>
          <w:bCs/>
        </w:rPr>
      </w:pPr>
      <w:r w:rsidRPr="00783A83">
        <w:rPr>
          <w:b/>
          <w:bCs/>
        </w:rPr>
        <w:t>Chapter 10 — Reactions Against Revolution</w:t>
      </w:r>
    </w:p>
    <w:p w14:paraId="5EC63FA7" w14:textId="77777777" w:rsidR="00783A83" w:rsidRPr="00783A83" w:rsidRDefault="00783A83" w:rsidP="00783A83">
      <w:r w:rsidRPr="00783A83">
        <w:pict w14:anchorId="3B8C1D20">
          <v:rect id="_x0000_i1079" style="width:0;height:1.5pt" o:hralign="center" o:hrstd="t" o:hr="t" fillcolor="#a0a0a0" stroked="f"/>
        </w:pict>
      </w:r>
    </w:p>
    <w:p w14:paraId="7684E11A" w14:textId="77777777" w:rsidR="00783A83" w:rsidRPr="00783A83" w:rsidRDefault="00783A83" w:rsidP="00783A83">
      <w:r w:rsidRPr="00783A83">
        <w:rPr>
          <w:b/>
          <w:bCs/>
        </w:rPr>
        <w:t>1. Cold War Context and the National Security Doctrine</w:t>
      </w:r>
    </w:p>
    <w:p w14:paraId="62BC90D0" w14:textId="77777777" w:rsidR="00783A83" w:rsidRPr="00783A83" w:rsidRDefault="00783A83" w:rsidP="00783A83">
      <w:pPr>
        <w:numPr>
          <w:ilvl w:val="0"/>
          <w:numId w:val="1"/>
        </w:numPr>
      </w:pPr>
      <w:r w:rsidRPr="00783A83">
        <w:t xml:space="preserve">Latin America in the Cold War was shaped by the U.S.-led crusade against communism. The United States identified the region as a strategic zone and exported its anti-communist ideology, most notably through the </w:t>
      </w:r>
      <w:r w:rsidRPr="00783A83">
        <w:rPr>
          <w:i/>
          <w:iCs/>
        </w:rPr>
        <w:t>National Security Doctrine</w:t>
      </w:r>
      <w:r w:rsidRPr="00783A83">
        <w:t>.</w:t>
      </w:r>
    </w:p>
    <w:p w14:paraId="770C6AD4" w14:textId="77777777" w:rsidR="00783A83" w:rsidRPr="00783A83" w:rsidRDefault="00783A83" w:rsidP="00783A83">
      <w:pPr>
        <w:numPr>
          <w:ilvl w:val="0"/>
          <w:numId w:val="1"/>
        </w:numPr>
      </w:pPr>
      <w:r w:rsidRPr="00783A83">
        <w:t>This doctrine divided responsibilities: the U.S. would fend off external communist threats, and Latin American armies were tasked with repressing “internal enemies.”</w:t>
      </w:r>
    </w:p>
    <w:p w14:paraId="326B3D1B" w14:textId="77777777" w:rsidR="00783A83" w:rsidRPr="00783A83" w:rsidRDefault="00783A83" w:rsidP="00783A83">
      <w:pPr>
        <w:numPr>
          <w:ilvl w:val="0"/>
          <w:numId w:val="1"/>
        </w:numPr>
      </w:pPr>
      <w:r w:rsidRPr="00783A83">
        <w:t>This alignment politicized the armed forces, turning them into enforcers of domestic order, which undermined civilian authority and democracy.</w:t>
      </w:r>
    </w:p>
    <w:p w14:paraId="5713F279" w14:textId="77777777" w:rsidR="00783A83" w:rsidRPr="00783A83" w:rsidRDefault="00783A83" w:rsidP="00783A83">
      <w:r w:rsidRPr="00783A83">
        <w:pict w14:anchorId="09461930">
          <v:rect id="_x0000_i1080" style="width:0;height:1.5pt" o:hralign="center" o:hrstd="t" o:hr="t" fillcolor="#a0a0a0" stroked="f"/>
        </w:pict>
      </w:r>
    </w:p>
    <w:p w14:paraId="3349F89B" w14:textId="77777777" w:rsidR="00783A83" w:rsidRPr="00783A83" w:rsidRDefault="00783A83" w:rsidP="00783A83">
      <w:r w:rsidRPr="00783A83">
        <w:rPr>
          <w:b/>
          <w:bCs/>
        </w:rPr>
        <w:t>2. Military Dictatorships and Bureaucratic Authoritarianism</w:t>
      </w:r>
    </w:p>
    <w:p w14:paraId="37D31452" w14:textId="77777777" w:rsidR="00783A83" w:rsidRPr="00783A83" w:rsidRDefault="00783A83" w:rsidP="00783A83">
      <w:pPr>
        <w:numPr>
          <w:ilvl w:val="0"/>
          <w:numId w:val="2"/>
        </w:numPr>
      </w:pPr>
      <w:r w:rsidRPr="00783A83">
        <w:t xml:space="preserve">The militaries adopted </w:t>
      </w:r>
      <w:r w:rsidRPr="00783A83">
        <w:rPr>
          <w:i/>
          <w:iCs/>
        </w:rPr>
        <w:t>bureaucratic authoritarianism</w:t>
      </w:r>
      <w:r w:rsidRPr="00783A83">
        <w:t>, an impersonal and technocratic form of dictatorship that claimed to protect national interests.</w:t>
      </w:r>
    </w:p>
    <w:p w14:paraId="37BF689A" w14:textId="77777777" w:rsidR="00783A83" w:rsidRPr="00783A83" w:rsidRDefault="00783A83" w:rsidP="00783A83">
      <w:pPr>
        <w:numPr>
          <w:ilvl w:val="0"/>
          <w:numId w:val="2"/>
        </w:numPr>
      </w:pPr>
      <w:r w:rsidRPr="00783A83">
        <w:t>Brazil’s 1964 coup established a regime that maintained a façade of constitutionalism while repressing dissent.</w:t>
      </w:r>
    </w:p>
    <w:p w14:paraId="451CBB7B" w14:textId="77777777" w:rsidR="00783A83" w:rsidRPr="00783A83" w:rsidRDefault="00783A83" w:rsidP="00783A83">
      <w:pPr>
        <w:numPr>
          <w:ilvl w:val="0"/>
          <w:numId w:val="2"/>
        </w:numPr>
      </w:pPr>
      <w:r w:rsidRPr="00783A83">
        <w:t>In Argentina and Uruguay, the militaries carried out “</w:t>
      </w:r>
      <w:r w:rsidRPr="00783A83">
        <w:rPr>
          <w:i/>
          <w:iCs/>
        </w:rPr>
        <w:t>dirty wars</w:t>
      </w:r>
      <w:r w:rsidRPr="00783A83">
        <w:t>,” clandestine campaigns involving torture, disappearances, and repression against the working and middle classes, especially students and intellectuals.</w:t>
      </w:r>
    </w:p>
    <w:p w14:paraId="7A5127DC" w14:textId="77777777" w:rsidR="00783A83" w:rsidRPr="00783A83" w:rsidRDefault="00783A83" w:rsidP="00783A83">
      <w:r w:rsidRPr="00783A83">
        <w:pict w14:anchorId="614101A1">
          <v:rect id="_x0000_i1081" style="width:0;height:1.5pt" o:hralign="center" o:hrstd="t" o:hr="t" fillcolor="#a0a0a0" stroked="f"/>
        </w:pict>
      </w:r>
    </w:p>
    <w:p w14:paraId="16731C62" w14:textId="77777777" w:rsidR="00783A83" w:rsidRPr="00783A83" w:rsidRDefault="00783A83" w:rsidP="00783A83">
      <w:r w:rsidRPr="00783A83">
        <w:rPr>
          <w:b/>
          <w:bCs/>
        </w:rPr>
        <w:t>3. Populism and Revolutionary Currents</w:t>
      </w:r>
    </w:p>
    <w:p w14:paraId="5914A003" w14:textId="77777777" w:rsidR="00783A83" w:rsidRPr="00783A83" w:rsidRDefault="00783A83" w:rsidP="00783A83">
      <w:pPr>
        <w:numPr>
          <w:ilvl w:val="0"/>
          <w:numId w:val="3"/>
        </w:numPr>
      </w:pPr>
      <w:r w:rsidRPr="00783A83">
        <w:t xml:space="preserve">Despite the Cold War repression, </w:t>
      </w:r>
      <w:r w:rsidRPr="00783A83">
        <w:rPr>
          <w:i/>
          <w:iCs/>
        </w:rPr>
        <w:t>populism</w:t>
      </w:r>
      <w:r w:rsidRPr="00783A83">
        <w:t xml:space="preserve"> endured as a powerful political force. Populist leaders like Juan Perón and Getúlio Vargas had created durable legacies of mass politics.</w:t>
      </w:r>
    </w:p>
    <w:p w14:paraId="074B66B7" w14:textId="77777777" w:rsidR="00783A83" w:rsidRPr="00783A83" w:rsidRDefault="00783A83" w:rsidP="00783A83">
      <w:pPr>
        <w:numPr>
          <w:ilvl w:val="0"/>
          <w:numId w:val="3"/>
        </w:numPr>
      </w:pPr>
      <w:r w:rsidRPr="00783A83">
        <w:t xml:space="preserve">Meanwhile, the 1959 </w:t>
      </w:r>
      <w:r w:rsidRPr="00783A83">
        <w:rPr>
          <w:i/>
          <w:iCs/>
        </w:rPr>
        <w:t>Cuban Revolution</w:t>
      </w:r>
      <w:r w:rsidRPr="00783A83">
        <w:t xml:space="preserve"> profoundly shifted political imaginaries across the region. It showed that a Marxist revolution was possible and heightened U.S. fears of further leftist insurgencies.</w:t>
      </w:r>
    </w:p>
    <w:p w14:paraId="72B022DD" w14:textId="77777777" w:rsidR="00783A83" w:rsidRPr="00783A83" w:rsidRDefault="00783A83" w:rsidP="00783A83">
      <w:pPr>
        <w:numPr>
          <w:ilvl w:val="0"/>
          <w:numId w:val="3"/>
        </w:numPr>
      </w:pPr>
      <w:r w:rsidRPr="00783A83">
        <w:t xml:space="preserve">The </w:t>
      </w:r>
      <w:r w:rsidRPr="00783A83">
        <w:rPr>
          <w:i/>
          <w:iCs/>
        </w:rPr>
        <w:t>Declaration of Caracas</w:t>
      </w:r>
      <w:r w:rsidRPr="00783A83">
        <w:t xml:space="preserve"> (1954) codified U.S.-aligned anti-Marxism in the hemisphere via the Organization of American States (OAS).</w:t>
      </w:r>
    </w:p>
    <w:p w14:paraId="6A3674D0" w14:textId="77777777" w:rsidR="00783A83" w:rsidRPr="00783A83" w:rsidRDefault="00783A83" w:rsidP="00783A83">
      <w:r w:rsidRPr="00783A83">
        <w:lastRenderedPageBreak/>
        <w:pict w14:anchorId="15E86A5D">
          <v:rect id="_x0000_i1082" style="width:0;height:1.5pt" o:hralign="center" o:hrstd="t" o:hr="t" fillcolor="#a0a0a0" stroked="f"/>
        </w:pict>
      </w:r>
    </w:p>
    <w:p w14:paraId="462C4B92" w14:textId="77777777" w:rsidR="00783A83" w:rsidRPr="00783A83" w:rsidRDefault="00783A83" w:rsidP="00783A83">
      <w:r w:rsidRPr="00783A83">
        <w:rPr>
          <w:b/>
          <w:bCs/>
        </w:rPr>
        <w:t>4. Revolutionary Movements and Proxy Warfare</w:t>
      </w:r>
    </w:p>
    <w:p w14:paraId="2C5BEB1E" w14:textId="77777777" w:rsidR="00783A83" w:rsidRPr="00783A83" w:rsidRDefault="00783A83" w:rsidP="00783A83">
      <w:pPr>
        <w:numPr>
          <w:ilvl w:val="0"/>
          <w:numId w:val="4"/>
        </w:numPr>
      </w:pPr>
      <w:r w:rsidRPr="00783A83">
        <w:t>Inspired by Cuba, nationalist revolutions gained ground:</w:t>
      </w:r>
    </w:p>
    <w:p w14:paraId="5D57B7E3" w14:textId="77777777" w:rsidR="00783A83" w:rsidRPr="00783A83" w:rsidRDefault="00783A83" w:rsidP="00783A83">
      <w:pPr>
        <w:numPr>
          <w:ilvl w:val="1"/>
          <w:numId w:val="4"/>
        </w:numPr>
        <w:rPr>
          <w:lang w:val="es-AR"/>
        </w:rPr>
      </w:pPr>
      <w:r w:rsidRPr="00783A83">
        <w:rPr>
          <w:lang w:val="es-AR"/>
        </w:rPr>
        <w:t>Guatemala (Arbenz), Bolivia (MNR), Nicaragua (Sandinistas), and El Salvador (FMLN) pursued radical change.</w:t>
      </w:r>
    </w:p>
    <w:p w14:paraId="09365F14" w14:textId="77777777" w:rsidR="00783A83" w:rsidRPr="00783A83" w:rsidRDefault="00783A83" w:rsidP="00783A83">
      <w:pPr>
        <w:numPr>
          <w:ilvl w:val="1"/>
          <w:numId w:val="4"/>
        </w:numPr>
      </w:pPr>
      <w:r w:rsidRPr="00783A83">
        <w:t xml:space="preserve">The U.S. responded with </w:t>
      </w:r>
      <w:r w:rsidRPr="00783A83">
        <w:rPr>
          <w:i/>
          <w:iCs/>
        </w:rPr>
        <w:t>proxy war tactics</w:t>
      </w:r>
      <w:r w:rsidRPr="00783A83">
        <w:t xml:space="preserve">—arming and supporting local </w:t>
      </w:r>
      <w:proofErr w:type="gramStart"/>
      <w:r w:rsidRPr="00783A83">
        <w:t>counter-revolutionaries</w:t>
      </w:r>
      <w:proofErr w:type="gramEnd"/>
      <w:r w:rsidRPr="00783A83">
        <w:t>, as seen in Guatemala (1954) and Cuba (Bay of Pigs).</w:t>
      </w:r>
    </w:p>
    <w:p w14:paraId="05EA2D0E" w14:textId="77777777" w:rsidR="00783A83" w:rsidRPr="00783A83" w:rsidRDefault="00783A83" w:rsidP="00783A83">
      <w:pPr>
        <w:numPr>
          <w:ilvl w:val="0"/>
          <w:numId w:val="4"/>
        </w:numPr>
      </w:pPr>
      <w:r w:rsidRPr="00783A83">
        <w:t xml:space="preserve">These proxy wars, combined with military training programs and economic aid (e.g., </w:t>
      </w:r>
      <w:r w:rsidRPr="00783A83">
        <w:rPr>
          <w:i/>
          <w:iCs/>
        </w:rPr>
        <w:t>Alliance for Progress</w:t>
      </w:r>
      <w:r w:rsidRPr="00783A83">
        <w:t>), were designed to secure U.S. influence without overt occupation.</w:t>
      </w:r>
    </w:p>
    <w:p w14:paraId="03CF1AB3" w14:textId="77777777" w:rsidR="00783A83" w:rsidRPr="00783A83" w:rsidRDefault="00783A83" w:rsidP="00783A83">
      <w:r w:rsidRPr="00783A83">
        <w:pict w14:anchorId="10452258">
          <v:rect id="_x0000_i1083" style="width:0;height:1.5pt" o:hralign="center" o:hrstd="t" o:hr="t" fillcolor="#a0a0a0" stroked="f"/>
        </w:pict>
      </w:r>
    </w:p>
    <w:p w14:paraId="3B4009BD" w14:textId="77777777" w:rsidR="00783A83" w:rsidRPr="00783A83" w:rsidRDefault="00783A83" w:rsidP="00783A83">
      <w:r w:rsidRPr="00783A83">
        <w:rPr>
          <w:b/>
          <w:bCs/>
        </w:rPr>
        <w:t>5. Religious and Cultural Dimensions: Liberation Theology</w:t>
      </w:r>
    </w:p>
    <w:p w14:paraId="22C260CB" w14:textId="77777777" w:rsidR="00783A83" w:rsidRPr="00783A83" w:rsidRDefault="00783A83" w:rsidP="00783A83">
      <w:pPr>
        <w:numPr>
          <w:ilvl w:val="0"/>
          <w:numId w:val="5"/>
        </w:numPr>
      </w:pPr>
      <w:r w:rsidRPr="00783A83">
        <w:t xml:space="preserve">A new voice of resistance arose within the Catholic Church: </w:t>
      </w:r>
      <w:r w:rsidRPr="00783A83">
        <w:rPr>
          <w:i/>
          <w:iCs/>
        </w:rPr>
        <w:t>Liberation Theology</w:t>
      </w:r>
      <w:r w:rsidRPr="00783A83">
        <w:t>.</w:t>
      </w:r>
    </w:p>
    <w:p w14:paraId="16080A04" w14:textId="77777777" w:rsidR="00783A83" w:rsidRPr="00783A83" w:rsidRDefault="00783A83" w:rsidP="00783A83">
      <w:pPr>
        <w:numPr>
          <w:ilvl w:val="0"/>
          <w:numId w:val="5"/>
        </w:numPr>
      </w:pPr>
      <w:r w:rsidRPr="00783A83">
        <w:t>Influenced by the Cuban model but grounded in Christian ethics, this movement viewed poverty and injustice as structural sins and called for action alongside the poor.</w:t>
      </w:r>
    </w:p>
    <w:p w14:paraId="4D74ECC1" w14:textId="77777777" w:rsidR="00783A83" w:rsidRPr="00783A83" w:rsidRDefault="00783A83" w:rsidP="00783A83">
      <w:pPr>
        <w:numPr>
          <w:ilvl w:val="0"/>
          <w:numId w:val="5"/>
        </w:numPr>
      </w:pPr>
      <w:r w:rsidRPr="00783A83">
        <w:t>While the Vatican remained wary, many priests, including those in rural Colombia and Central America, became active in social mobilization.</w:t>
      </w:r>
    </w:p>
    <w:p w14:paraId="19AB95E3" w14:textId="77777777" w:rsidR="00783A83" w:rsidRPr="00783A83" w:rsidRDefault="00783A83" w:rsidP="00783A83">
      <w:r w:rsidRPr="00783A83">
        <w:pict w14:anchorId="4743320E">
          <v:rect id="_x0000_i1084" style="width:0;height:1.5pt" o:hralign="center" o:hrstd="t" o:hr="t" fillcolor="#a0a0a0" stroked="f"/>
        </w:pict>
      </w:r>
    </w:p>
    <w:p w14:paraId="66A1DCE9" w14:textId="77777777" w:rsidR="00783A83" w:rsidRPr="00783A83" w:rsidRDefault="00783A83" w:rsidP="00783A83">
      <w:r w:rsidRPr="00783A83">
        <w:rPr>
          <w:b/>
          <w:bCs/>
        </w:rPr>
        <w:t>6. Cases of Resistance and Repression</w:t>
      </w:r>
    </w:p>
    <w:p w14:paraId="6AA4C05E" w14:textId="77777777" w:rsidR="00783A83" w:rsidRPr="00783A83" w:rsidRDefault="00783A83" w:rsidP="00783A83">
      <w:pPr>
        <w:numPr>
          <w:ilvl w:val="0"/>
          <w:numId w:val="6"/>
        </w:numPr>
      </w:pPr>
      <w:r w:rsidRPr="00783A83">
        <w:rPr>
          <w:i/>
          <w:iCs/>
        </w:rPr>
        <w:t>Colombia’s FARC and ELN</w:t>
      </w:r>
      <w:r w:rsidRPr="00783A83">
        <w:t xml:space="preserve"> insurgencies drew on Cold War radicalism and funded operations through coca cultivation.</w:t>
      </w:r>
    </w:p>
    <w:p w14:paraId="4D74BB4D" w14:textId="77777777" w:rsidR="00783A83" w:rsidRPr="00783A83" w:rsidRDefault="00783A83" w:rsidP="00783A83">
      <w:pPr>
        <w:numPr>
          <w:ilvl w:val="0"/>
          <w:numId w:val="6"/>
        </w:numPr>
      </w:pPr>
      <w:r w:rsidRPr="00783A83">
        <w:rPr>
          <w:i/>
          <w:iCs/>
        </w:rPr>
        <w:t xml:space="preserve">Argentina’s </w:t>
      </w:r>
      <w:proofErr w:type="spellStart"/>
      <w:r w:rsidRPr="00783A83">
        <w:rPr>
          <w:i/>
          <w:iCs/>
        </w:rPr>
        <w:t>Montoneros</w:t>
      </w:r>
      <w:proofErr w:type="spellEnd"/>
      <w:r w:rsidRPr="00783A83">
        <w:t xml:space="preserve"> and </w:t>
      </w:r>
      <w:r w:rsidRPr="00783A83">
        <w:rPr>
          <w:i/>
          <w:iCs/>
        </w:rPr>
        <w:t>Uruguay’s Tupamaros</w:t>
      </w:r>
      <w:r w:rsidRPr="00783A83">
        <w:t xml:space="preserve"> took up arms to oppose militarized repression. Their defeat unleashed harsh retribution.</w:t>
      </w:r>
    </w:p>
    <w:p w14:paraId="12425B0F" w14:textId="77777777" w:rsidR="00783A83" w:rsidRPr="00783A83" w:rsidRDefault="00783A83" w:rsidP="00783A83">
      <w:pPr>
        <w:numPr>
          <w:ilvl w:val="0"/>
          <w:numId w:val="6"/>
        </w:numPr>
      </w:pPr>
      <w:r w:rsidRPr="00783A83">
        <w:rPr>
          <w:i/>
          <w:iCs/>
        </w:rPr>
        <w:t>Las Madres de la Plaza de Mayo</w:t>
      </w:r>
      <w:r w:rsidRPr="00783A83">
        <w:t xml:space="preserve"> emerged in Argentina as a moral and public voice demanding accountability for the disappeared.</w:t>
      </w:r>
    </w:p>
    <w:p w14:paraId="16ABF903" w14:textId="77777777" w:rsidR="00783A83" w:rsidRPr="00783A83" w:rsidRDefault="00783A83" w:rsidP="00783A83">
      <w:r w:rsidRPr="00783A83">
        <w:pict w14:anchorId="77E423BE">
          <v:rect id="_x0000_i1085" style="width:0;height:1.5pt" o:hralign="center" o:hrstd="t" o:hr="t" fillcolor="#a0a0a0" stroked="f"/>
        </w:pict>
      </w:r>
    </w:p>
    <w:p w14:paraId="5E7CA228" w14:textId="77777777" w:rsidR="00783A83" w:rsidRPr="00783A83" w:rsidRDefault="00783A83" w:rsidP="00783A83">
      <w:r w:rsidRPr="00783A83">
        <w:rPr>
          <w:b/>
          <w:bCs/>
        </w:rPr>
        <w:t>7. Exceptions and Counterpoints</w:t>
      </w:r>
    </w:p>
    <w:p w14:paraId="6E65CFF7" w14:textId="77777777" w:rsidR="00783A83" w:rsidRPr="00783A83" w:rsidRDefault="00783A83" w:rsidP="00783A83">
      <w:pPr>
        <w:numPr>
          <w:ilvl w:val="0"/>
          <w:numId w:val="7"/>
        </w:numPr>
      </w:pPr>
      <w:r w:rsidRPr="00783A83">
        <w:rPr>
          <w:i/>
          <w:iCs/>
        </w:rPr>
        <w:lastRenderedPageBreak/>
        <w:t>Costa Rica</w:t>
      </w:r>
      <w:r w:rsidRPr="00783A83">
        <w:t xml:space="preserve"> stands out as an exception. It abolished its military in 1948 and avoided Cold War violence.</w:t>
      </w:r>
    </w:p>
    <w:p w14:paraId="52E82519" w14:textId="77777777" w:rsidR="00783A83" w:rsidRPr="00783A83" w:rsidRDefault="00783A83" w:rsidP="00783A83">
      <w:pPr>
        <w:numPr>
          <w:ilvl w:val="0"/>
          <w:numId w:val="7"/>
        </w:numPr>
      </w:pPr>
      <w:r w:rsidRPr="00783A83">
        <w:rPr>
          <w:i/>
          <w:iCs/>
        </w:rPr>
        <w:t>Peru</w:t>
      </w:r>
      <w:r w:rsidRPr="00783A83">
        <w:t>, interestingly, experienced a military regime in the late 1960s and 70s that pursued nationalist reforms without adhering to the usual anti-communist dogma—this made Peru unique among military governments.</w:t>
      </w:r>
    </w:p>
    <w:p w14:paraId="2EE41F5A" w14:textId="77777777" w:rsidR="00783A83" w:rsidRPr="00783A83" w:rsidRDefault="00783A83" w:rsidP="00783A83">
      <w:r w:rsidRPr="00783A83">
        <w:pict w14:anchorId="063C1601">
          <v:rect id="_x0000_i1086" style="width:0;height:1.5pt" o:hralign="center" o:hrstd="t" o:hr="t" fillcolor="#a0a0a0" stroked="f"/>
        </w:pict>
      </w:r>
    </w:p>
    <w:p w14:paraId="00938F6C" w14:textId="77777777" w:rsidR="00783A83" w:rsidRPr="00783A83" w:rsidRDefault="00783A83" w:rsidP="00783A83">
      <w:r w:rsidRPr="00783A83">
        <w:rPr>
          <w:b/>
          <w:bCs/>
        </w:rPr>
        <w:t>8. Collapse of Military Rule and Legacy</w:t>
      </w:r>
    </w:p>
    <w:p w14:paraId="37F1DFE7" w14:textId="77777777" w:rsidR="00783A83" w:rsidRPr="00783A83" w:rsidRDefault="00783A83" w:rsidP="00783A83">
      <w:pPr>
        <w:numPr>
          <w:ilvl w:val="0"/>
          <w:numId w:val="8"/>
        </w:numPr>
      </w:pPr>
      <w:r w:rsidRPr="00783A83">
        <w:t xml:space="preserve">Military regimes eventually collapsed due to their </w:t>
      </w:r>
      <w:r w:rsidRPr="00783A83">
        <w:rPr>
          <w:i/>
          <w:iCs/>
        </w:rPr>
        <w:t>own failures</w:t>
      </w:r>
      <w:r w:rsidRPr="00783A83">
        <w:t>—economic mismanagement, human rights abuses, and loss of legitimacy.</w:t>
      </w:r>
    </w:p>
    <w:p w14:paraId="55276733" w14:textId="77777777" w:rsidR="00783A83" w:rsidRPr="00783A83" w:rsidRDefault="00783A83" w:rsidP="00783A83">
      <w:pPr>
        <w:numPr>
          <w:ilvl w:val="0"/>
          <w:numId w:val="8"/>
        </w:numPr>
      </w:pPr>
      <w:r w:rsidRPr="00783A83">
        <w:t>Transition to democracy didn’t erase authoritarian legacies, but it opened space for memory struggles, reconciliation, and new waves of democratic governance.</w:t>
      </w:r>
    </w:p>
    <w:p w14:paraId="63AF035D" w14:textId="77777777" w:rsidR="00783A83" w:rsidRPr="00783A83" w:rsidRDefault="00783A83" w:rsidP="00783A83">
      <w:r w:rsidRPr="00783A83">
        <w:pict w14:anchorId="4A24E015">
          <v:rect id="_x0000_i1087" style="width:0;height:1.5pt" o:hralign="center" o:hrstd="t" o:hr="t" fillcolor="#a0a0a0" stroked="f"/>
        </w:pict>
      </w:r>
    </w:p>
    <w:p w14:paraId="4C20FFF2" w14:textId="77777777" w:rsidR="00783A83" w:rsidRPr="00783A83" w:rsidRDefault="00783A83" w:rsidP="00783A83">
      <w:r w:rsidRPr="00783A83">
        <w:rPr>
          <w:b/>
          <w:bCs/>
        </w:rPr>
        <w:t>Conclusion</w:t>
      </w:r>
    </w:p>
    <w:p w14:paraId="2907B5BE" w14:textId="77777777" w:rsidR="00783A83" w:rsidRPr="00783A83" w:rsidRDefault="00783A83" w:rsidP="00783A83">
      <w:r w:rsidRPr="00783A83">
        <w:t>Chapter 10 illustrates how Latin America’s Cold War history was not a passive tale of U.S. domination, but a dynamic period of contested sovereignty, violent repression, revolutionary hope, and resilient social movements. The complex interplay between ideology, violence, and popular mobilization defines this period as one of the most turbulent and transformative in the region’s modern history.</w:t>
      </w:r>
    </w:p>
    <w:p w14:paraId="086A090E" w14:textId="77777777" w:rsidR="00434452" w:rsidRDefault="00434452"/>
    <w:sectPr w:rsidR="00434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13A47"/>
    <w:multiLevelType w:val="multilevel"/>
    <w:tmpl w:val="03843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35517"/>
    <w:multiLevelType w:val="multilevel"/>
    <w:tmpl w:val="182E0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A6DB9"/>
    <w:multiLevelType w:val="multilevel"/>
    <w:tmpl w:val="49BA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E56D75"/>
    <w:multiLevelType w:val="multilevel"/>
    <w:tmpl w:val="DA4A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F611AD"/>
    <w:multiLevelType w:val="multilevel"/>
    <w:tmpl w:val="89CE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165790"/>
    <w:multiLevelType w:val="multilevel"/>
    <w:tmpl w:val="156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D0E07"/>
    <w:multiLevelType w:val="multilevel"/>
    <w:tmpl w:val="A3AEE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97B07"/>
    <w:multiLevelType w:val="multilevel"/>
    <w:tmpl w:val="1F60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812021">
    <w:abstractNumId w:val="5"/>
  </w:num>
  <w:num w:numId="2" w16cid:durableId="703023609">
    <w:abstractNumId w:val="6"/>
  </w:num>
  <w:num w:numId="3" w16cid:durableId="299843391">
    <w:abstractNumId w:val="3"/>
  </w:num>
  <w:num w:numId="4" w16cid:durableId="1246963396">
    <w:abstractNumId w:val="1"/>
  </w:num>
  <w:num w:numId="5" w16cid:durableId="140316062">
    <w:abstractNumId w:val="7"/>
  </w:num>
  <w:num w:numId="6" w16cid:durableId="823745456">
    <w:abstractNumId w:val="2"/>
  </w:num>
  <w:num w:numId="7" w16cid:durableId="1752846781">
    <w:abstractNumId w:val="4"/>
  </w:num>
  <w:num w:numId="8" w16cid:durableId="16756489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A83"/>
    <w:rsid w:val="00227B8A"/>
    <w:rsid w:val="00254DA1"/>
    <w:rsid w:val="0035718C"/>
    <w:rsid w:val="00434452"/>
    <w:rsid w:val="005B1D0D"/>
    <w:rsid w:val="00671B67"/>
    <w:rsid w:val="00783A83"/>
    <w:rsid w:val="00A05A98"/>
    <w:rsid w:val="00BF3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A8667"/>
  <w15:chartTrackingRefBased/>
  <w15:docId w15:val="{7FC58C73-3493-4FFE-B282-1161FAB8E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3A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3A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3A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3A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3A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3A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3A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3A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3A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3A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3A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3A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3A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3A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3A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3A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3A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3A83"/>
    <w:rPr>
      <w:rFonts w:eastAsiaTheme="majorEastAsia" w:cstheme="majorBidi"/>
      <w:color w:val="272727" w:themeColor="text1" w:themeTint="D8"/>
    </w:rPr>
  </w:style>
  <w:style w:type="paragraph" w:styleId="Ttulo">
    <w:name w:val="Title"/>
    <w:basedOn w:val="Normal"/>
    <w:next w:val="Normal"/>
    <w:link w:val="TtuloCar"/>
    <w:uiPriority w:val="10"/>
    <w:qFormat/>
    <w:rsid w:val="00783A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3A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3A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3A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3A83"/>
    <w:pPr>
      <w:spacing w:before="160"/>
      <w:jc w:val="center"/>
    </w:pPr>
    <w:rPr>
      <w:i/>
      <w:iCs/>
      <w:color w:val="404040" w:themeColor="text1" w:themeTint="BF"/>
    </w:rPr>
  </w:style>
  <w:style w:type="character" w:customStyle="1" w:styleId="CitaCar">
    <w:name w:val="Cita Car"/>
    <w:basedOn w:val="Fuentedeprrafopredeter"/>
    <w:link w:val="Cita"/>
    <w:uiPriority w:val="29"/>
    <w:rsid w:val="00783A83"/>
    <w:rPr>
      <w:i/>
      <w:iCs/>
      <w:color w:val="404040" w:themeColor="text1" w:themeTint="BF"/>
    </w:rPr>
  </w:style>
  <w:style w:type="paragraph" w:styleId="Prrafodelista">
    <w:name w:val="List Paragraph"/>
    <w:basedOn w:val="Normal"/>
    <w:uiPriority w:val="34"/>
    <w:qFormat/>
    <w:rsid w:val="00783A83"/>
    <w:pPr>
      <w:ind w:left="720"/>
      <w:contextualSpacing/>
    </w:pPr>
  </w:style>
  <w:style w:type="character" w:styleId="nfasisintenso">
    <w:name w:val="Intense Emphasis"/>
    <w:basedOn w:val="Fuentedeprrafopredeter"/>
    <w:uiPriority w:val="21"/>
    <w:qFormat/>
    <w:rsid w:val="00783A83"/>
    <w:rPr>
      <w:i/>
      <w:iCs/>
      <w:color w:val="0F4761" w:themeColor="accent1" w:themeShade="BF"/>
    </w:rPr>
  </w:style>
  <w:style w:type="paragraph" w:styleId="Citadestacada">
    <w:name w:val="Intense Quote"/>
    <w:basedOn w:val="Normal"/>
    <w:next w:val="Normal"/>
    <w:link w:val="CitadestacadaCar"/>
    <w:uiPriority w:val="30"/>
    <w:qFormat/>
    <w:rsid w:val="00783A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3A83"/>
    <w:rPr>
      <w:i/>
      <w:iCs/>
      <w:color w:val="0F4761" w:themeColor="accent1" w:themeShade="BF"/>
    </w:rPr>
  </w:style>
  <w:style w:type="character" w:styleId="Referenciaintensa">
    <w:name w:val="Intense Reference"/>
    <w:basedOn w:val="Fuentedeprrafopredeter"/>
    <w:uiPriority w:val="32"/>
    <w:qFormat/>
    <w:rsid w:val="00783A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869388">
      <w:bodyDiv w:val="1"/>
      <w:marLeft w:val="0"/>
      <w:marRight w:val="0"/>
      <w:marTop w:val="0"/>
      <w:marBottom w:val="0"/>
      <w:divBdr>
        <w:top w:val="none" w:sz="0" w:space="0" w:color="auto"/>
        <w:left w:val="none" w:sz="0" w:space="0" w:color="auto"/>
        <w:bottom w:val="none" w:sz="0" w:space="0" w:color="auto"/>
        <w:right w:val="none" w:sz="0" w:space="0" w:color="auto"/>
      </w:divBdr>
    </w:div>
    <w:div w:id="103415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632</Words>
  <Characters>3605</Characters>
  <Application>Microsoft Office Word</Application>
  <DocSecurity>0</DocSecurity>
  <Lines>30</Lines>
  <Paragraphs>8</Paragraphs>
  <ScaleCrop>false</ScaleCrop>
  <Company/>
  <LinksUpToDate>false</LinksUpToDate>
  <CharactersWithSpaces>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Robelo</dc:creator>
  <cp:keywords/>
  <dc:description/>
  <cp:lastModifiedBy>Claudio Robelo</cp:lastModifiedBy>
  <cp:revision>1</cp:revision>
  <dcterms:created xsi:type="dcterms:W3CDTF">2025-05-20T20:47:00Z</dcterms:created>
  <dcterms:modified xsi:type="dcterms:W3CDTF">2025-05-20T20:48:00Z</dcterms:modified>
</cp:coreProperties>
</file>