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Python policy and toolbar checks run against the existing Plus runtime with explicit source overlays. Native selection-gate, Sketcher command, directional-box and pointer-path acceptance require the grouped native rebuild in the final authorized workload prompt. This source preparation is not a new owner build or a claim of physical acceptance. WORK_STATE records exact checks, documentation review and pending delivery gates.</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Structurally inapplicable actions are absent. Existing constraints and known conflicts/redundancies are disabled with tooltips that remain available on disabled buttons.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source-overlay regression checks use real native document transactions, Sketcher constraints, Coin geometry gates and Qt controls. The new native cloned-solver diagnostic, atomic driving batch and Selection gate changes require the final grouped rebuild in workload prompt 10. No new owner payload or physical acceptance is claimed here. The October 6 recovery provides an isolated bundled LibreOffice renderer. Affected-page visual review and native/packaged delivery evidence are recorded in WORK_STATE.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are prepared in source; grouped native and packaged acceptance remain required before owner delivery.</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The owner now requires separate follow-up prompts for items 2–7; final grouped build delivery and desktop shortcut verification remain pending.
</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Source preparation includes native regression cases; their execution and packaged acceptance remain pending the grouped build.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new assertions have passed syntax checks only and must execute in final recovery item 7. Native/runtime acceptance of the changed tests and final build delivery remain deferred to that prompt. Rotate, Point to Point and Align Axes now supersede the earlier Translate-only source-preparation status, without claiming native or owner acceptance.
</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Four native regression cases are prepared; execution and GUI acceptance remain pending the grouped build.
</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Four native regression cases including rendered handle mouse/Escape events are prepared but not yet executed; native build and packaged GUI acceptance remain required.
</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succeeded; full rerun, graphics capture diagnosis, packaged/high-DPI checks and actual desktop shortcut launch remain delivery gates in WORK_STATE. Physical owner acceptance remains separate.
</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grouped native and packaged/high-DPI reruns and saved desktop shortcut launch remain pending; WORK_STATE records exact logs and runtime identities. No placement, geometry, ownership, selection default or physical acceptance contract changes.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