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offers domestic storage in the active component’s defining file, a new external file, or an existing external file. Choose a location for a new file or select the existing file, then enter a unique component name. Creation does not place an instance.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External File creates an independent file definition and retains the original definition and its placements. Do not offer an identity-preserving move between domestic and external storage. Editing a copied definition does not change the original definition.</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