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Python policy and toolbar checks run against the existing Plus runtime with explicit source overlays. Native selection-gate, Sketcher command, directional-box and pointer-path acceptance require the grouped native rebuild in the final authorized workload prompt. This source preparation is not a new owner build or a claim of physical acceptance. WORK_STATE records exact checks, documentation review and pending delivery gates.</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source-overlay regression checks use real native document transactions, Sketcher constraints, Coin geometry gates and Qt controls. The new native cloned-solver diagnostic, atomic driving batch and Selection gate changes require the final grouped rebuild in workload prompt 10. No new owner payload or physical acceptance is claimed here. The October 6 recovery provides an isolated bundled LibreOffice renderer. Affected-page visual review and native/packaged delivery evidence are recorded in WORK_STATE.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are prepared in source; grouped native and packaged acceptance remain required before owner delivery.</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October 4 Rotate implementation and eight updated tests are retained; the replacement host has no built Plus runtime yet, so rerun and packaged acceptance remain pending in the grouped delivery gate.
</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Source preparation includes native regression cases; their execution and packaged acceptance remain pending the grouped build.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Five native regression cases are prepared; execution remains pending the grouped build. Rotate, Point to Point and Align Axes now supersede the earlier Translate-only source-preparation status, without claiming native or owner acceptance.
</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Four native regression cases are prepared; execution and GUI acceptance remain pending the grouped build.
</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Four native regression cases including rendered handle mouse/Escape events are prepared but not yet executed; native build and packaged GUI acceptance remain required.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