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Python policy and toolbar checks run against the existing Plus runtime with explicit source overlays. Native selection-gate, Sketcher command, directional-box and pointer-path acceptance require the grouped native rebuild in the final authorized workload prompt. This source preparation is not a new owner build or a claim of physical acceptance. WORK_STATE records exact checks, documentation review and pending delivery gates.</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Structurally inapplicable actions are absent. Existing constraints and known conflicts/redundancies are disabled with tooltips that remain available on disabled buttons.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source-overlay regression checks use real native document transactions, Sketcher constraints, Coin geometry gates and Qt controls. The new native cloned-solver diagnostic, atomic driving batch and Selection gate changes require the final grouped rebuild in workload prompt 10. No new owner payload or physical acceptance is claimed here. The October 6 recovery provides an isolated bundled LibreOffice renderer. Affected-page visual review and native/packaged delivery evidence are recorded in WORK_STATE.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are prepared in source; grouped native and packaged acceptance remain required before owner delivery.</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October 4 Rotate implementation and eight updated tests are retained; the replacement host has no built Plus runtime yet, so rerun and packaged acceptance remain pending in the grouped delivery gate.
</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Source preparation includes native regression cases; their execution and packaged acceptance remain pending the grouped build.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Five native regression cases are prepared; execution remains pending the grouped build. Rotate, Point to Point and Align Axes now supersede the earlier Translate-only source-preparation status, without claiming native or owner acceptance.
</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Four native regression cases are prepared; execution and GUI acceptance remain pending the grouped build.
</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Four native regression cases including rendered handle mouse/Escape events are prepared but not yet executed; native build and packaged GUI acceptance remain required.
</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succeeded; full rerun, graphics capture diagnosis, packaged/high-DPI checks and actual desktop shortcut launch remain delivery gates in WORK_STATE. Physical owner acceptance remains separate.
</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grouped native and packaged/high-DPI reruns and saved desktop shortcut launch remain pending; WORK_STATE records exact logs and runtime identities. No placement, geometry, ownership, selection default or physical acceptance contract changes.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