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Python policy and toolbar checks run against the existing Plus runtime with explicit source overlays. Native selection-gate, Sketcher command, directional-box and pointer-path acceptance require the grouped native rebuild in the final authorized workload prompt. This source preparation is not a new owner build or a claim of physical acceptance. WORK_STATE records exact checks, documentation review and pending delivery gates.</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source-overlay regression checks use real native document transactions, Sketcher constraints, Coin geometry gates and Qt controls. The new native cloned-solver diagnostic, atomic driving batch and Selection gate changes require the final grouped rebuild in workload prompt 10. No new owner payload or physical acceptance is claimed here. The October 6 recovery provides an isolated bundled LibreOffice renderer. Affected-page visual review and native/packaged delivery evidence are recorded in WORK_STATE.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are prepared in source; grouped native and packaged acceptance remain required before owner delivery.</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The owner now requires separate follow-up prompts for items 2–7; final grouped build delivery and desktop shortcut verification remain pending.
</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Source preparation includes native regression cases; their execution and packaged acceptance remain pending the grouped build.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new assertions have passed syntax checks only and must execute in final recovery item 7. Native/runtime acceptance of the changed tests and final build delivery remain deferred to that prompt. Rotate, Point to Point and Align Axes now supersede the earlier Translate-only source-preparation status, without claiming native or owner acceptance.
</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new assertions pass syntax checks only; their native/runtime execution and final grouped build/packaged delivery remain deferred to recovery item 7.
</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New assertions pass syntax checks only; final native/runtime execution, grouped build/packaged acceptance and shortcut delivery remain deferred to recovery item 7.
</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succeeded; full rerun, graphics capture diagnosis, packaged/high-DPI checks and actual desktop shortcut launch remain delivery gates in WORK_STATE. Physical owner acceptance remains separate.
</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grouped native and packaged/high-DPI reruns and saved desktop shortcut launch remain pending; WORK_STATE records exact logs and runtime identities. No placement, geometry, ownership, selection default or physical acceptance contract changes.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