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Keep the file first as the pinned top-level container, with the FreeCAD icon and file name. Show component occurrences beneath it; Part001 is an ordinary component.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 The file container is not a component model in Models. Renaming the file row changes the file display name without renaming any component.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r>
        <w:t xml:space="preserve"> Opening an older .cadprt file adds this container in memory after checking the saved file. The original on disk stays unchanged until Save. The added file row stays pinned through Undo; reopening an upgraded file does not add another container.</w:t>
      </w:r>
      <w:r>
        <w:t xml:space="preserve"> In Models, select one unused domestic definition and choose Delete component or press Delete. Remove its occurrences and outside references first; otherwise explain why deletion is blocked. Imported definitions must be opened in their defining file before deletion. Deleting the edited unused model restores the file view and closes its isolated component tab. Undo restores the definition and geometry without reopening that tab. Part Tree Delete removes occurrences only; the file row remains protected. Reference checks cover open files, not other closed assemblies on disk.</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r>
        <w:t xml:space="preserve"> Opening, closing or switching component tabs preserves the original tab’s edited occurrence and camera view. A child component can also be edited in the separate tab, with the same contextual transparency behavior.</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r>
        <w:t xml:space="preserve"> File Edit refreshes references within its domestic component assembly without creating file-owned geometry or History entries.</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New Component offers domestic storage in the active component’s defining file, a new external file, or an existing external file. Choose a location for a new file or select the existing file, then enter a unique component name. Creation does not place an instance in the current assembly. A new external file contains the named component beneath its pinned file row, without an extra Part001.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Copy to External File creates an independent file definition and retains the original definition and its placements. Do not offer an identity-preserving move between domestic and external storage. Editing a copied definition does not change the original definition. The destination file places the copied component beneath its pinned file row, without creating an extra Part001.</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pinned file row.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r>
        <w:t xml:space="preserve"> Conversion and geometry-only recovery both add the pinned file row, with its global Origin, above the converted domestic component. Recovered outputs belong to that component; the file has no modeling geometry. The file row is excluded from Models. One Undo reverses the entire conversion, including the file container, and Redo restores it. No additional Part001 is created.</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