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r>
        <w:t>Legacy conversion planning inventories definitions, Body Tips, sketches, links, placements, properties and dependencies without modifying or recomputing the source. Preserve shared definitions and native editability. All feature tasks recover in this order: mapped feature, retained native feature, then explicitly reported dumb body, sheet or curve from validated evaluated geometry. Dumb recovery loses parametrics; stale caches remain unverified and unavailable outputs are reported. Task one provides planning only. Structure conversion and fallback creation follow later; WORK_STATE records acceptance and packaging.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