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The owner now requires separate follow-up prompts for items 2–7; final grouped build delivery and desktop shortcut verification remain pending.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new assertions have passed syntax checks only and must execute in final recovery item 7. Native/runtime acceptance of the changed tests and final build delivery remain deferred to that prompt.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new assertions pass syntax checks only; their native/runtime execution and final grouped build/packaged delivery remain deferred to recovery item 7.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New assertions pass syntax checks only; final native/runtime execution, grouped build/packaged acceptance and shortcut delivery remain deferred to recovery item 7.
</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succeeded; full rerun, graphics capture diagnosis, packaged/high-DPI checks and actual desktop shortcut launch remain delivery gates in WORK_STATE. Physical owner acceptance remains separate.
</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grouped native and packaged/high-DPI reruns and saved desktop shortcut launch remain pending;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must run the updated 89-check full suite and 55-check high-DPI subset, real handle/collector events, Undo/Redo/save/reopen, final DOCX review and verified desktop shortcut launch. No new build or owner delivery is claimed by item 6; the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Full combined 89-check, 55-check high-DPI and saved desktop shortcut delivery gates remain pending this final item.</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