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AEAC" w14:textId="5A2A8CFA" w:rsidR="0023060B" w:rsidRPr="005634D7" w:rsidRDefault="0023060B" w:rsidP="0066554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GB"/>
        </w:rPr>
      </w:pPr>
      <w:r w:rsidRPr="005634D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GB"/>
        </w:rPr>
        <w:t>Seaford Allotments</w:t>
      </w:r>
    </w:p>
    <w:p w14:paraId="55E5FCE7" w14:textId="15B014C9" w:rsidR="0023060B" w:rsidRPr="005634D7" w:rsidRDefault="0066554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GUIDELINES FOR THE LIGHTING OF BONFIRES ON SEAFORD ALLO</w:t>
      </w:r>
      <w:r w:rsidR="0068567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MENT SITE </w:t>
      </w:r>
    </w:p>
    <w:p w14:paraId="1B22009F" w14:textId="242D6F53" w:rsidR="00884979" w:rsidRPr="00884979" w:rsidRDefault="00665544" w:rsidP="0088497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7732F7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1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</w:t>
      </w:r>
      <w:r w:rsidR="00884979" w:rsidRPr="00884979">
        <w:rPr>
          <w:rFonts w:ascii="Arial" w:eastAsia="Times New Roman" w:hAnsi="Arial" w:cs="Arial"/>
          <w:color w:val="454545"/>
          <w:sz w:val="24"/>
          <w:szCs w:val="24"/>
          <w:lang w:eastAsia="en-GB"/>
        </w:rPr>
        <w:t>Bonfires may be lit from 1</w:t>
      </w:r>
      <w:r w:rsidR="00884979" w:rsidRPr="00884979">
        <w:rPr>
          <w:rFonts w:ascii="Arial" w:eastAsia="Times New Roman" w:hAnsi="Arial" w:cs="Arial"/>
          <w:color w:val="454545"/>
          <w:sz w:val="24"/>
          <w:szCs w:val="24"/>
          <w:vertAlign w:val="superscript"/>
          <w:lang w:eastAsia="en-GB"/>
        </w:rPr>
        <w:t>st</w:t>
      </w:r>
      <w:r w:rsidR="00884979" w:rsidRPr="00884979">
        <w:rPr>
          <w:rFonts w:ascii="Arial" w:eastAsia="Times New Roman" w:hAnsi="Arial" w:cs="Arial"/>
          <w:color w:val="454545"/>
          <w:sz w:val="24"/>
          <w:szCs w:val="24"/>
          <w:lang w:eastAsia="en-GB"/>
        </w:rPr>
        <w:t xml:space="preserve"> November to 28</w:t>
      </w:r>
      <w:r w:rsidR="00884979" w:rsidRPr="00884979">
        <w:rPr>
          <w:rFonts w:ascii="Arial" w:eastAsia="Times New Roman" w:hAnsi="Arial" w:cs="Arial"/>
          <w:color w:val="454545"/>
          <w:sz w:val="24"/>
          <w:szCs w:val="24"/>
          <w:vertAlign w:val="superscript"/>
          <w:lang w:eastAsia="en-GB"/>
        </w:rPr>
        <w:t>th</w:t>
      </w:r>
      <w:r w:rsidR="00884979" w:rsidRPr="00884979">
        <w:rPr>
          <w:rFonts w:ascii="Arial" w:eastAsia="Times New Roman" w:hAnsi="Arial" w:cs="Arial"/>
          <w:color w:val="454545"/>
          <w:sz w:val="24"/>
          <w:szCs w:val="24"/>
          <w:lang w:eastAsia="en-GB"/>
        </w:rPr>
        <w:t xml:space="preserve"> February, but not before 8am and must be extinguished by 4pm, subject to weather conditions and wind conditions.</w:t>
      </w:r>
    </w:p>
    <w:p w14:paraId="027E9C39" w14:textId="77777777" w:rsidR="00884979" w:rsidRDefault="00884979" w:rsidP="00884979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454545"/>
          <w:sz w:val="24"/>
          <w:szCs w:val="24"/>
          <w:lang w:eastAsia="en-GB"/>
        </w:rPr>
      </w:pPr>
    </w:p>
    <w:p w14:paraId="04833D3D" w14:textId="60E5C204" w:rsidR="00C94436" w:rsidRPr="005634D7" w:rsidRDefault="00C94436" w:rsidP="00C944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2.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 Bonfire Monitor</w:t>
      </w:r>
      <w:r w:rsidR="00445B4E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(Dee Kellaway)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MUST BE NOTIFIED, via email</w:t>
      </w:r>
      <w:r w:rsidR="00045F48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(</w:t>
      </w:r>
      <w:hyperlink r:id="rId5" w:history="1">
        <w:r w:rsidR="00045F48" w:rsidRPr="000316F7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sec.seaford.allot@gmail.com</w:t>
        </w:r>
      </w:hyperlink>
      <w:r w:rsidR="00045F48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)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, 48hrs in advance, of any plot holder’s intention to light a bonfire, stating their name, plot number, giving the date and time.</w:t>
      </w:r>
    </w:p>
    <w:p w14:paraId="195F4AB5" w14:textId="77C1CB41" w:rsidR="008A4054" w:rsidRPr="005634D7" w:rsidRDefault="008A405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</w:p>
    <w:p w14:paraId="251BA79B" w14:textId="5440FC81" w:rsidR="00A10F82" w:rsidRPr="005634D7" w:rsidRDefault="00C94436" w:rsidP="00A10F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3</w:t>
      </w:r>
      <w:r w:rsidR="008A4054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The bonfire must be lit in a </w:t>
      </w:r>
      <w:r w:rsidR="00A10F82" w:rsidRPr="005634D7">
        <w:rPr>
          <w:rFonts w:ascii="Arial" w:hAnsi="Arial" w:cs="Arial"/>
          <w:color w:val="000000" w:themeColor="text1"/>
          <w:sz w:val="24"/>
          <w:szCs w:val="24"/>
        </w:rPr>
        <w:t>cleared area with no overhanging branches and a safe distance from all buildings</w:t>
      </w:r>
      <w:r w:rsidR="00045F48">
        <w:rPr>
          <w:rFonts w:ascii="Arial" w:hAnsi="Arial" w:cs="Arial"/>
          <w:color w:val="000000" w:themeColor="text1"/>
          <w:sz w:val="24"/>
          <w:szCs w:val="24"/>
        </w:rPr>
        <w:t>,</w:t>
      </w:r>
      <w:r w:rsidR="00A10F82" w:rsidRPr="005634D7">
        <w:rPr>
          <w:rFonts w:ascii="Arial" w:hAnsi="Arial" w:cs="Arial"/>
          <w:color w:val="000000" w:themeColor="text1"/>
          <w:sz w:val="24"/>
          <w:szCs w:val="24"/>
        </w:rPr>
        <w:t xml:space="preserve"> equipment, fences</w:t>
      </w:r>
      <w:r w:rsidR="00045F4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10F82" w:rsidRPr="005634D7">
        <w:rPr>
          <w:rFonts w:ascii="Arial" w:hAnsi="Arial" w:cs="Arial"/>
          <w:color w:val="000000" w:themeColor="text1"/>
          <w:sz w:val="24"/>
          <w:szCs w:val="24"/>
        </w:rPr>
        <w:t xml:space="preserve">vehicles and at least 10 metres from any property located outside </w:t>
      </w:r>
      <w:r>
        <w:rPr>
          <w:rFonts w:ascii="Arial" w:hAnsi="Arial" w:cs="Arial"/>
          <w:color w:val="000000" w:themeColor="text1"/>
          <w:sz w:val="24"/>
          <w:szCs w:val="24"/>
        </w:rPr>
        <w:t>the allotment</w:t>
      </w:r>
      <w:r w:rsidR="00A10F82" w:rsidRPr="005634D7">
        <w:rPr>
          <w:rFonts w:ascii="Arial" w:hAnsi="Arial" w:cs="Arial"/>
          <w:color w:val="000000" w:themeColor="text1"/>
          <w:sz w:val="24"/>
          <w:szCs w:val="24"/>
        </w:rPr>
        <w:t xml:space="preserve"> boundary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C6CE6B0" w14:textId="77777777" w:rsidR="00C94436" w:rsidRDefault="00C94436" w:rsidP="006655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19090EA" w14:textId="019541E9" w:rsidR="0023060B" w:rsidRPr="005634D7" w:rsidRDefault="00C94436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4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</w:t>
      </w:r>
      <w:r w:rsidR="002732A7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 bonfire must be attended at all times by a responsible adult and lit without the use of an</w:t>
      </w:r>
      <w:r w:rsidR="00D86CCC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y</w:t>
      </w:r>
      <w:r w:rsidR="002732A7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accelerant</w:t>
      </w:r>
      <w:r w:rsidR="00D86CCC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and well away from any highly flammable liquids or gas cylinders or fuel cans.</w:t>
      </w:r>
    </w:p>
    <w:p w14:paraId="6E8C2ACD" w14:textId="1F1A2EC6" w:rsidR="0023060B" w:rsidRPr="005634D7" w:rsidRDefault="0066554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157DF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5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</w:t>
      </w:r>
      <w:r w:rsidR="00606DC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The bonfire must be lit within the </w:t>
      </w:r>
      <w:r w:rsidR="00C94436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p</w:t>
      </w:r>
      <w:r w:rsidR="0068567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l</w:t>
      </w:r>
      <w:r w:rsidR="00C94436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otholder’s</w:t>
      </w:r>
      <w:r w:rsidR="00606DC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allotment</w:t>
      </w:r>
      <w:r w:rsidR="00D75944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and </w:t>
      </w:r>
      <w:r w:rsidR="00606DC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there must be a bucket nearby with sufficient water to extinguish it.</w:t>
      </w:r>
    </w:p>
    <w:p w14:paraId="664F5D0D" w14:textId="74A66774" w:rsidR="0023060B" w:rsidRPr="005634D7" w:rsidRDefault="0066554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157DF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6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Only dry woody material or dry diseased 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vegetation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should be burned if there is no alternative method of disposal. Green matter should not be burned. </w:t>
      </w:r>
    </w:p>
    <w:p w14:paraId="2E1C30CA" w14:textId="70ACA0FF" w:rsidR="0023060B" w:rsidRPr="005634D7" w:rsidRDefault="0066554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157DF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7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The burning of any artificial, artificially treated or polluting 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materials (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e.g.</w:t>
      </w:r>
      <w:r w:rsidR="00657255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,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plastics, tyres, carpet, MDF etc</w:t>
      </w:r>
      <w:r w:rsidR="00657255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.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) is strictly prohibited. </w:t>
      </w: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157DF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8.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It is only permitted to burn material from the allotment site. Plot</w:t>
      </w:r>
      <w:r w:rsidR="00657255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holders MUST NOT bring material from outside the site for burning. </w:t>
      </w:r>
    </w:p>
    <w:p w14:paraId="5651BDE4" w14:textId="12841B98" w:rsidR="00794ECF" w:rsidRDefault="0066554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157DF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9.</w:t>
      </w:r>
      <w:r w:rsidR="00794ECF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Please check the burn pile for wildlife before burning.</w:t>
      </w:r>
    </w:p>
    <w:p w14:paraId="53C8D081" w14:textId="59F3C465" w:rsidR="00C94436" w:rsidRDefault="00C94436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</w:p>
    <w:p w14:paraId="77C2473B" w14:textId="71BAE43D" w:rsidR="00C94436" w:rsidRPr="005634D7" w:rsidRDefault="00C94436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1</w:t>
      </w:r>
      <w:r w:rsidR="00157DF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0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The bonfire must be fully extinguished with water when finished. Sand or dirt must NOT be used.  </w:t>
      </w:r>
    </w:p>
    <w:p w14:paraId="5E2A1A10" w14:textId="77777777" w:rsidR="00794ECF" w:rsidRPr="005634D7" w:rsidRDefault="00794ECF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</w:p>
    <w:p w14:paraId="005EC919" w14:textId="2FED7D33" w:rsidR="0023060B" w:rsidRPr="00884979" w:rsidRDefault="00157DF7" w:rsidP="006655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84979">
        <w:rPr>
          <w:rFonts w:ascii="Arial" w:eastAsia="Times New Roman" w:hAnsi="Arial" w:cs="Arial"/>
          <w:sz w:val="24"/>
          <w:szCs w:val="24"/>
          <w:lang w:eastAsia="en-GB"/>
        </w:rPr>
        <w:t>11</w:t>
      </w:r>
      <w:r w:rsidR="0023060B" w:rsidRPr="00884979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r w:rsidR="00665544" w:rsidRPr="00884979">
        <w:rPr>
          <w:rFonts w:ascii="Arial" w:eastAsia="Times New Roman" w:hAnsi="Arial" w:cs="Arial"/>
          <w:sz w:val="24"/>
          <w:szCs w:val="24"/>
          <w:lang w:eastAsia="en-GB"/>
        </w:rPr>
        <w:t xml:space="preserve">Smoke from a bonfire which could be a nuisance to neighbours could result in action under the </w:t>
      </w:r>
      <w:r w:rsidR="00665544" w:rsidRPr="0088497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Environment Protection Act</w:t>
      </w:r>
      <w:r w:rsidR="00665544" w:rsidRPr="00884979">
        <w:rPr>
          <w:rFonts w:ascii="Arial" w:eastAsia="Times New Roman" w:hAnsi="Arial" w:cs="Arial"/>
          <w:sz w:val="24"/>
          <w:szCs w:val="24"/>
          <w:lang w:eastAsia="en-GB"/>
        </w:rPr>
        <w:t xml:space="preserve"> of 1990. Persistent offenders may have their tenancy terminated</w:t>
      </w:r>
      <w:r w:rsidR="0023060B" w:rsidRPr="00884979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342A5320" w14:textId="606AF34A" w:rsidR="0023060B" w:rsidRPr="005634D7" w:rsidRDefault="00665544" w:rsidP="006655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1</w:t>
      </w:r>
      <w:r w:rsidR="005634D7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2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.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All instances of bonfires on the allotment site will be logged by the Committee </w:t>
      </w:r>
      <w:r w:rsidR="00884979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to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answer any complaints which may be received, either directly from the neighbouring community or via the Town or District Council</w:t>
      </w:r>
      <w:r w:rsidR="00F73CBF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.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</w:t>
      </w:r>
    </w:p>
    <w:p w14:paraId="77821DF4" w14:textId="710BFAD9" w:rsidR="004720AD" w:rsidRPr="005634D7" w:rsidRDefault="00665544" w:rsidP="00657255">
      <w:pPr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5634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S</w:t>
      </w:r>
      <w:r w:rsidR="0023060B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eaford Allotments </w:t>
      </w:r>
      <w:r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Committee </w:t>
      </w:r>
      <w:r w:rsidR="00B00E97" w:rsidRPr="005634D7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June 2022</w:t>
      </w:r>
    </w:p>
    <w:p w14:paraId="0AC2B4F1" w14:textId="6AA44775" w:rsidR="002B0E41" w:rsidRPr="005634D7" w:rsidRDefault="002B0E41" w:rsidP="00657255">
      <w:pPr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</w:p>
    <w:p w14:paraId="3B563F67" w14:textId="76CB1B78" w:rsidR="002B0E41" w:rsidRDefault="002B0E41" w:rsidP="0065725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sectPr w:rsidR="002B0E41" w:rsidSect="00B93048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487E"/>
    <w:multiLevelType w:val="hybridMultilevel"/>
    <w:tmpl w:val="E3106E36"/>
    <w:lvl w:ilvl="0" w:tplc="546630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1D1259"/>
    <w:multiLevelType w:val="hybridMultilevel"/>
    <w:tmpl w:val="B10A73E2"/>
    <w:lvl w:ilvl="0" w:tplc="134A4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145EA"/>
    <w:multiLevelType w:val="hybridMultilevel"/>
    <w:tmpl w:val="C204B226"/>
    <w:lvl w:ilvl="0" w:tplc="33D865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18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3872">
    <w:abstractNumId w:val="2"/>
  </w:num>
  <w:num w:numId="2" w16cid:durableId="2063551753">
    <w:abstractNumId w:val="1"/>
  </w:num>
  <w:num w:numId="3" w16cid:durableId="49776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44"/>
    <w:rsid w:val="00045F48"/>
    <w:rsid w:val="00157DF7"/>
    <w:rsid w:val="001B1F6D"/>
    <w:rsid w:val="0023060B"/>
    <w:rsid w:val="00257C8B"/>
    <w:rsid w:val="002732A7"/>
    <w:rsid w:val="002B0E41"/>
    <w:rsid w:val="00313048"/>
    <w:rsid w:val="003D2EBC"/>
    <w:rsid w:val="00445B4E"/>
    <w:rsid w:val="005634D7"/>
    <w:rsid w:val="00606DCB"/>
    <w:rsid w:val="00657255"/>
    <w:rsid w:val="00665544"/>
    <w:rsid w:val="0068567B"/>
    <w:rsid w:val="0071627A"/>
    <w:rsid w:val="007732F7"/>
    <w:rsid w:val="00794ECF"/>
    <w:rsid w:val="00805D60"/>
    <w:rsid w:val="00884979"/>
    <w:rsid w:val="008A4054"/>
    <w:rsid w:val="00A10F82"/>
    <w:rsid w:val="00A30551"/>
    <w:rsid w:val="00A83D8F"/>
    <w:rsid w:val="00B00E97"/>
    <w:rsid w:val="00B7170C"/>
    <w:rsid w:val="00B93048"/>
    <w:rsid w:val="00BA0FED"/>
    <w:rsid w:val="00C94436"/>
    <w:rsid w:val="00D75944"/>
    <w:rsid w:val="00D86CCC"/>
    <w:rsid w:val="00E74192"/>
    <w:rsid w:val="00F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52D"/>
  <w15:chartTrackingRefBased/>
  <w15:docId w15:val="{C3AB1B8F-FA5D-43A8-AD2F-BBFA9392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5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E41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5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.seaford.all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 Patel</dc:creator>
  <cp:keywords/>
  <dc:description/>
  <cp:lastModifiedBy>Daksha Patel</cp:lastModifiedBy>
  <cp:revision>10</cp:revision>
  <dcterms:created xsi:type="dcterms:W3CDTF">2022-05-24T20:07:00Z</dcterms:created>
  <dcterms:modified xsi:type="dcterms:W3CDTF">2022-06-21T06:08:00Z</dcterms:modified>
</cp:coreProperties>
</file>