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Комплексный тестовый документ</w:t>
      </w:r>
    </w:p>
    <w:p>
      <w:pPr>
        <w:pStyle w:val="Heading1"/>
      </w:pPr>
      <w:r>
        <w:t>Главный заголовок</w:t>
      </w:r>
    </w:p>
    <w:p>
      <w:r>
        <w:t>Это обычный параграф текста.</w:t>
      </w:r>
    </w:p>
    <w:p>
      <w:r>
        <w:rPr>
          <w:b/>
        </w:rPr>
        <w:t>Это выделенный жирным шрифтом</w:t>
      </w:r>
    </w:p>
    <w:p>
      <w:r>
        <w:rPr>
          <w:i/>
        </w:rPr>
        <w:t>Это курсивный текст</w:t>
      </w:r>
    </w:p>
    <w:p>
      <w:pPr>
        <w:jc w:val="center"/>
      </w:pPr>
      <w:r>
        <w:t>Это центрированный параграф</w:t>
      </w:r>
    </w:p>
    <w:p>
      <w:pPr>
        <w:pStyle w:val="ListBullet"/>
      </w:pPr>
      <w:r>
        <w:t>Неупорядоченный элемент 1</w:t>
      </w:r>
    </w:p>
    <w:p>
      <w:pPr>
        <w:pStyle w:val="ListBullet"/>
      </w:pPr>
      <w:r>
        <w:t>Неупорядоченный элемент 2</w:t>
      </w:r>
    </w:p>
    <w:p>
      <w:pPr>
        <w:pStyle w:val="ListNumber"/>
      </w:pPr>
      <w:r>
        <w:t>Упорядоченный элемент 1</w:t>
      </w:r>
    </w:p>
    <w:p>
      <w:pPr>
        <w:pStyle w:val="ListNumber"/>
      </w:pPr>
      <w:r>
        <w:t>Упорядоченный элемент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Товар 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100 руб.</w:t>
            </w:r>
          </w:p>
        </w:tc>
      </w:tr>
      <w:tr>
        <w:tc>
          <w:tcPr>
            <w:tcW w:type="dxa" w:w="2880"/>
          </w:tcPr>
          <w:p>
            <w:r>
              <w:t>Товар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250 руб.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850 руб.</w:t>
            </w:r>
          </w:p>
        </w:tc>
      </w:tr>
    </w:tbl>
    <w:p>
      <w:r>
        <w:t>Конец документа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